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81-1152476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Kendall Square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1400 West, 3rd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02139</w:t>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651-8867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its Current Report on Form 8-K filed with the U.S. Securities and Exchange Commission (the “Commission”) on September 10, 2025, CAMP4 Therapeutics Corporation (the “Company”) entered into a Securities Purchase Agreement, dated September 9, 2025 (the “Original Agreement”), with certain accredited investors named therein (each, an “Investor” and collectively, the “Investors”), pursuant to which the Company agreed to sell to the Investors, in up to two closings in a private placement transaction (the “Private Placement”), up to an aggregate of 65,442,344 shares (the “Shares”) of the Company’s common stock, par value $0.0001 per share (the “Common Stock”) or, in lieu of Common Stock to certain Investors, pre-funded warrants to purchase shares of Common Stock (the “Warrant Shares” and, together with the Shares, the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initial closing of the Private Placement (the “Initial Closing”) occurred on September 11, 2025. At the Initial Closing, the Company issued and sold 26,681,053 Shares at a purchase price of $1.53 per Share (the “Share Price”) and, in lieu of Common Stock to certain Investors, pre-funded warrants to purchase 6,003,758 Warrant Shares at a purchase price of $1.5299 per pre-funded warrant (the “Pre-Funded Warrant Price”). In addition, the Company also issued and sold to certain members of management, including the Company’s Chief Executive Officer, Josh Mandel-Brehm, the Company’s Chief Financial Officer, Kelly Gold, the Company’s Chief Medical Officer, Yuri Maricich, M.D., and the Company’s co-founders, Richard Young, Ph.D., who also serves as a director on the Company’s Board of Directors (the “Board”), and Leonard Zon, M.D., who serves as a Board observer, an additional 36,361 Shares at a purchase price of $1.65 per share. The Initial Closing resulted in aggregate gross proceeds to the Company of approximately $50.1 million, before deducting placement agent fees and other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2026, the Company announced that it had received clearance from Australia’s Therapeutic Goods Administration and the local Human Research Ethics Committee to initiate the Company’s Phase 1/2 clinical trial of CMP-002, the Company’s investigational product candidate for the treatment of SYNGAP1-related disorder, which clearance satisfied the CTA Milestone (as defined in the Original Agreement). The Company also received a Price Threshold Waiver (as defined in the Original Agreement), and as a result, the Second Closing Trigger (as defined in the Original Agreement) was satisfied.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3, 2026, the Company and certain of the Investors entered into an amendment to the Original Agreement (the “Amendment” and, together with the Original Agreement, the “Purchase Agreement”) to update certain provisions of the Purchase Agreement related to the mechanics of the second closing (the “Second Closing”) of the Private Placement. At the Second Closing, which occurred on August 3, 2026, the Company issued and sold 10,756,498 Shares at the Share Price and 21,925,368 Warrant Shares at the Pre-Funded Warrant Price. In addition, the Company issued and sold to certain members of management, including Mr. Mandel-Brehm, Ms. Gold and Dr. Maricich, and the Company’s co-founders Dr. Young and Dr. Zon, an additional 39,306 Shares at a purchase price of $1.65 per share. The Second Closing resulted in aggregate gross proceeds to the Company of approximately $50.1 million, before deducting placement agent fees and other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pre-funded warrants have an exercise price of $0.0001 per Warrant Share, subject to customary adjustments, and are exercisable at any time after original issuance and will not expire until exercised in full. The pre-funded warrants are also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Securities issued in the Second Closing are subject to the Registration Rights Agreement, dated September 9, 2025, previously entered into in connection with the Original Agreement and disclosed by the Company in a Current Report on Form 8-K filed with the Commission on September 10,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summaries of the pre-funded warrants and of the Amendment do not purport to be complete and are qualified in their entirety by reference to the complete text of the form of pre-funded warrant, which was previously filed as an exhibit to the Company’s Current Report on Form 8-K filed with the Commission on September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2025, and to the Amendment, which is filed as Exhibit 10.1 to this Current Report on Form 8-K, each of which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disclosure regarding the Securities issued and sold under the Purchase Agreement set forth under Item 1.01 of this report is incorporated by reference under this Item 3.02.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Securities issued in the Second Closing have not been registered under the Securities Act of 1933, as amended (the “Securities Act”), or any state securities laws. The Company is relying on the exemption from the registration requirements of the Securities Act by virtue of Section 4(a)(2) thereof. Each Investor provided representations appropriate for a private placement of securities. Restrictive legends are affixed to the Securities issued in the Second Closing.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this Current Report on Form 8-K nor any exhibit attached hereto is an offer to sell or the solicitation of an offer to buy shares of Common Stock or other securities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issued a press release announcing the Second Closing. The press release is attached as Exhibit 99.1 to this Current Report on Form 8-K and incorporated into this Item 7.01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334"/>
        <w:gridCol w:w="294"/>
        <w:gridCol w:w="295"/>
        <w:gridCol w:w="109"/>
        <w:gridCol w:w="109"/>
        <w:gridCol w:w="109"/>
        <w:gridCol w:w="2615"/>
        <w:gridCol w:w="2615"/>
        <w:gridCol w:w="3725"/>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r:id="rId2">
              <w:r>
                <w:rPr>
                  <w:rStyle w:val="InternetLink"/>
                  <w:rFonts w:ascii="Times New Roman;serif" w:hAnsi="Times New Roman;serif"/>
                  <w:b w:val="false"/>
                  <w:color w:val="0000FF"/>
                  <w:sz w:val="20"/>
                  <w:u w:val="single"/>
                </w:rPr>
                <w:t>Form of pre-funded warrant (incorporated by reference to Exhibit 4.1 to the Form 8-K filed on September 10, 2025).</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exhibit101-8xk.htm">
              <w:r>
                <w:rPr>
                  <w:rStyle w:val="InternetLink"/>
                  <w:rFonts w:ascii="Times New Roman;serif" w:hAnsi="Times New Roman;serif"/>
                  <w:b w:val="false"/>
                  <w:color w:val="0000FF"/>
                  <w:sz w:val="20"/>
                  <w:u w:val="single"/>
                </w:rPr>
                <w:t>Amendment to the Securities Purchase Agreement, dated August 3, 2026, by and among the CAMP4 Therapeutics Corporation and certain investors named therein.</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 xml:space="preserve">Registration Rights Agreement, dated September 9, 2025, by and among the Company and the Investors (incorporated by reference to Exhibit 10.2 to the Form 8-K filed on September 10, 2025). </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exhibit991-8xk.htm">
              <w:r>
                <w:rPr>
                  <w:rStyle w:val="InternetLink"/>
                  <w:rFonts w:ascii="Times New Roman;serif" w:hAnsi="Times New Roman;serif"/>
                  <w:b w:val="false"/>
                  <w:color w:val="0000FF"/>
                  <w:sz w:val="20"/>
                  <w:u w:val="single"/>
                </w:rPr>
                <w:t>Press release issued by CAMP4 Therapeutics Corporation on August 4, 2026.</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63" w:type="dxa"/>
        <w:jc w:val="left"/>
        <w:tblInd w:w="0" w:type="dxa"/>
        <w:tblLayout w:type="fixed"/>
        <w:tblCellMar>
          <w:top w:w="28" w:type="dxa"/>
          <w:left w:w="28" w:type="dxa"/>
          <w:bottom w:w="28" w:type="dxa"/>
          <w:right w:w="28" w:type="dxa"/>
        </w:tblCellMar>
      </w:tblPr>
      <w:tblGrid>
        <w:gridCol w:w="667"/>
        <w:gridCol w:w="587"/>
        <w:gridCol w:w="590"/>
        <w:gridCol w:w="608"/>
        <w:gridCol w:w="608"/>
        <w:gridCol w:w="608"/>
        <w:gridCol w:w="1112"/>
        <w:gridCol w:w="1112"/>
        <w:gridCol w:w="157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Josh Mandel-Brehm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PURCHASE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AMENDMENT TO THE SECURITIES PURCHASE AGREEMENT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August 3, 2026, by and among CAMP4 Therapeutics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each of the undersigned entities and individuals, and amends that certain Securities Purchase Agreement, dated as of September 9, 2025, by and among the Company and the entities and individuals listed on Exhibit A and Exhibit B thereto (the “</w:t>
      </w:r>
      <w:r>
        <w:rPr>
          <w:rFonts w:ascii="Times New Roman;serif" w:hAnsi="Times New Roman;serif"/>
          <w:b w:val="false"/>
          <w:color w:val="000000"/>
          <w:sz w:val="24"/>
          <w:u w:val="single"/>
        </w:rPr>
        <w:t>Original Agreement</w:t>
      </w:r>
      <w:r>
        <w:rPr>
          <w:color w:val="000000"/>
        </w:rPr>
        <w:t xml:space="preserve">” </w:t>
      </w:r>
      <w:r>
        <w:rPr>
          <w:rFonts w:ascii="Times New Roman;serif" w:hAnsi="Times New Roman;serif"/>
          <w:b w:val="false"/>
          <w:color w:val="000000"/>
          <w:sz w:val="24"/>
        </w:rPr>
        <w:t>and, as amended hereby, the “</w:t>
      </w:r>
      <w:r>
        <w:rPr>
          <w:rFonts w:ascii="Times New Roman;serif" w:hAnsi="Times New Roman;serif"/>
          <w:b w:val="false"/>
          <w:color w:val="000000"/>
          <w:sz w:val="24"/>
          <w:u w:val="single"/>
        </w:rPr>
        <w:t>Purchase Agreement</w:t>
      </w:r>
      <w:r>
        <w:rPr>
          <w:color w:val="000000"/>
        </w:rPr>
        <w:t>”</w:t>
      </w:r>
      <w:r>
        <w:rPr>
          <w:rFonts w:ascii="Times New Roman;serif" w:hAnsi="Times New Roman;serif"/>
          <w:b w:val="false"/>
          <w:color w:val="000000"/>
          <w:sz w:val="24"/>
        </w:rPr>
        <w:t>). Capitalized terms used but not otherwise defined herein shall have the meanings ascribed to them in the Original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Section 9.15 of the Original Agreement provides that no amendment, modification, alteration, or change in any of the terms of the Original Agreement shall be valid or binding upon the parties thereto unless made in writing and duly executed by the Company and the Investors of at least a majority in interest of the Securities then held by the Investors;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parties hereto constitute all of the parties required to amend the Original Agreement in accordance with Section 9.15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Company has achieved the CTA Milestone and has received a Price Threshold Waiver;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Company has been notified by one or more Investors who did not sign the Price Threshold Waiver that such Investors do not intend to purchase all or any portion of the Additional Shares and/or Additional Pre-Funded Warrants allocated to such Investors in connection with the Second Closing;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Company and the Investors desire to amend the Original Agreement to permit the reallocation of any such Additional Shares and/or Additional Pre-Funded Warrants among the Participating Investors in advance of the Second Closing Date, such that the Second Closing shall constitute the final closing under the Original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and sufficiency of which is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10000"/>
          <w:sz w:val="24"/>
        </w:rPr>
        <w:t>1.    </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Section 1 of the Original Agreement is hereby amended to delete the following defined terms in their entirety: “Cut-back Securities,” “Cut-back Optional Securities,” “Participating Shortfall Closing Investor,” “Second Optional Shortfall Closing,” “Second Optional Shortfall Closing Date,” “Second Optional Shortfall Closing Notice,” “Shortfall Closing,” “Shortfall Closing Date,” “Shortfall Closing Notice,” “Unsubscribed Optional Securities,” “Unsubscribed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Optional Securities Notice,” “Unsubscribed Securities” and “Unsubscribed Securities Notice.”</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10000"/>
          <w:sz w:val="24"/>
        </w:rPr>
        <w:t>(b)    </w:t>
      </w:r>
      <w:r>
        <w:rPr>
          <w:rFonts w:ascii="Times New Roman;serif" w:hAnsi="Times New Roman;serif"/>
          <w:b w:val="false"/>
          <w:color w:val="000000"/>
          <w:sz w:val="24"/>
        </w:rPr>
        <w:t>Section 2.3 of the Original Agreement is hereby amended and restated in its entirety and shall read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2.3    </w:t>
      </w:r>
      <w:r>
        <w:rPr>
          <w:rFonts w:ascii="Times New Roman;serif" w:hAnsi="Times New Roman;serif"/>
          <w:b w:val="false"/>
          <w:color w:val="000000"/>
          <w:sz w:val="24"/>
          <w:u w:val="single"/>
        </w:rPr>
        <w:t>Second Closing</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Subject to the achievement of the CTA Milestone and either (i) the achievement of the Price Threshold or (ii) the Company’s receipt of a Price Threshold Waiver (the “</w:t>
      </w:r>
      <w:r>
        <w:rPr>
          <w:rFonts w:ascii="Times New Roman;serif" w:hAnsi="Times New Roman;serif"/>
          <w:b/>
          <w:color w:val="000000"/>
          <w:sz w:val="24"/>
        </w:rPr>
        <w:t>Second Closing Trigger</w:t>
      </w:r>
      <w:r>
        <w:rPr>
          <w:color w:val="000000"/>
        </w:rPr>
        <w:t>”</w:t>
      </w:r>
      <w:r>
        <w:rPr>
          <w:rFonts w:ascii="Times New Roman;serif" w:hAnsi="Times New Roman;serif"/>
          <w:b w:val="false"/>
          <w:color w:val="000000"/>
          <w:sz w:val="24"/>
        </w:rPr>
        <w:t>), the Company shall, within two Business Days thereafter, provide written notice to the Investors of such Second Closing Trigger (the “</w:t>
      </w:r>
      <w:r>
        <w:rPr>
          <w:rFonts w:ascii="Times New Roman;serif" w:hAnsi="Times New Roman;serif"/>
          <w:b/>
          <w:color w:val="000000"/>
          <w:sz w:val="24"/>
        </w:rPr>
        <w:t>Milestone Event Notice</w:t>
      </w:r>
      <w:r>
        <w:rPr>
          <w:color w:val="000000"/>
        </w:rPr>
        <w:t xml:space="preserve">” </w:t>
      </w:r>
      <w:r>
        <w:rPr>
          <w:rFonts w:ascii="Times New Roman;serif" w:hAnsi="Times New Roman;serif"/>
          <w:b w:val="false"/>
          <w:color w:val="000000"/>
          <w:sz w:val="24"/>
        </w:rPr>
        <w:t>and the date the Milestone Event Notice is delivered, the “</w:t>
      </w:r>
      <w:r>
        <w:rPr>
          <w:rFonts w:ascii="Times New Roman;serif" w:hAnsi="Times New Roman;serif"/>
          <w:b/>
          <w:color w:val="000000"/>
          <w:sz w:val="24"/>
        </w:rPr>
        <w:t>Milestone Event Notice Date</w:t>
      </w:r>
      <w:r>
        <w:rPr>
          <w:color w:val="000000"/>
        </w:rPr>
        <w:t>”</w:t>
      </w:r>
      <w:r>
        <w:rPr>
          <w:rFonts w:ascii="Times New Roman;serif" w:hAnsi="Times New Roman;serif"/>
          <w:b w:val="false"/>
          <w:color w:val="000000"/>
          <w:sz w:val="24"/>
        </w:rPr>
        <w:t>), and as a result, a milestone closing under this Agreement (the “</w:t>
      </w:r>
      <w:r>
        <w:rPr>
          <w:rFonts w:ascii="Times New Roman;serif" w:hAnsi="Times New Roman;serif"/>
          <w:b/>
          <w:color w:val="000000"/>
          <w:sz w:val="24"/>
        </w:rPr>
        <w:t>Second Closing</w:t>
      </w:r>
      <w:r>
        <w:rPr>
          <w:color w:val="000000"/>
        </w:rPr>
        <w:t>”</w:t>
      </w:r>
      <w:r>
        <w:rPr>
          <w:rFonts w:ascii="Times New Roman;serif" w:hAnsi="Times New Roman;serif"/>
          <w:b w:val="false"/>
          <w:color w:val="000000"/>
          <w:sz w:val="24"/>
        </w:rPr>
        <w:t>) shall be held. The date of the Second Closing (the “</w:t>
      </w:r>
      <w:r>
        <w:rPr>
          <w:rFonts w:ascii="Times New Roman;serif" w:hAnsi="Times New Roman;serif"/>
          <w:b/>
          <w:color w:val="000000"/>
          <w:sz w:val="24"/>
        </w:rPr>
        <w:t>Second Closing Date</w:t>
      </w:r>
      <w:r>
        <w:rPr>
          <w:color w:val="000000"/>
        </w:rPr>
        <w:t>”</w:t>
      </w:r>
      <w:r>
        <w:rPr>
          <w:rFonts w:ascii="Times New Roman;serif" w:hAnsi="Times New Roman;serif"/>
          <w:b w:val="false"/>
          <w:color w:val="000000"/>
          <w:sz w:val="24"/>
        </w:rPr>
        <w:t xml:space="preserve">) will be the fifth Business Day after the Milestone Event Notice Date, or such sooner time as may be agreed by the Company and all Investors. At the Second Closing, the Company agrees to sell, and each Investor, severally and not jointly, agrees to purchase, the number of Additional Shares and/or Additional Pre-Funded Warrants as set forth opposite such Investor’s name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Notwithstanding anything to the contrary in this Agreement, if the Second Closing Trigger is caused by a Price Threshold Waiver, only those Investors who signed the Price Threshold Waiver (each, a “</w:t>
      </w:r>
      <w:r>
        <w:rPr>
          <w:rFonts w:ascii="Times New Roman;serif" w:hAnsi="Times New Roman;serif"/>
          <w:b/>
          <w:color w:val="000000"/>
          <w:sz w:val="24"/>
        </w:rPr>
        <w:t>Participating Investor</w:t>
      </w:r>
      <w:r>
        <w:rPr>
          <w:color w:val="000000"/>
        </w:rPr>
        <w:t>”</w:t>
      </w:r>
      <w:r>
        <w:rPr>
          <w:rFonts w:ascii="Times New Roman;serif" w:hAnsi="Times New Roman;serif"/>
          <w:b w:val="false"/>
          <w:color w:val="000000"/>
          <w:sz w:val="24"/>
        </w:rPr>
        <w:t>) shall be obligated to participate in the Second Closing and each Participating Investor shall have the right but not the obligation to purchase the Additional Shares and/or Additional Pre-Funded Warrants.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At the Second Closing, each Investor shall pay to an account designated by the Company, by wire transfer of immediately available funds, the amount set forth opposite its name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and/or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 xml:space="preserve">hereto. Subject to the receipt of the foregoing payment, the Additional Shares and/or Additional Pre-Funded Warrants shall be issued and registered in the name of the Investor, or in such nominee name(s) as designated by such Investor, representing the number of Additional Shares and/or Additional Pre-Funded Warrants to be purchased by the Investor at the Second Closing as set forth in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Notwithstanding anything to the contrary herein, if an Investor breaches the covenant set forth in Section 5.12, it shall forfeit its right to participate in the Second Closing. An Investor who transfers all or a portion of its Initial Shares and/or Initial Pre-Funded Warrants to a third party prior to the Second Closing Date shall not forfeit its rights to participate in the Second Closing.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In the event that, prior to the Second Closing, which Second Closing is triggered by the achievement of the CTA Milestone and the Company’s receipt of a Price Threshold Waiver, the Company is notified in writing by an Investor other than a Participating Investor that such Investor does not intend to purchase all or any portion of the Additional Shares and/or Additional Pre-Funded Warrants set forth opposite such Investor’s name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(such Investor, a “</w:t>
      </w:r>
      <w:r>
        <w:rPr>
          <w:rFonts w:ascii="Times New Roman;serif" w:hAnsi="Times New Roman;serif"/>
          <w:b/>
          <w:color w:val="000000"/>
          <w:sz w:val="24"/>
        </w:rPr>
        <w:t>Non-Participating Investor</w:t>
      </w:r>
      <w:r>
        <w:rPr>
          <w:rFonts w:ascii="Times New Roman;serif" w:hAnsi="Times New Roman;serif"/>
          <w:b w:val="false"/>
          <w:color w:val="000000"/>
          <w:sz w:val="24"/>
        </w:rPr>
        <w:t>,” and such Additional Shares and/or Additional Pre-Funded Warrants, the “</w:t>
      </w:r>
      <w:r>
        <w:rPr>
          <w:rFonts w:ascii="Times New Roman;serif" w:hAnsi="Times New Roman;serif"/>
          <w:b/>
          <w:color w:val="000000"/>
          <w:sz w:val="24"/>
        </w:rPr>
        <w:t>Unallocated Securities</w:t>
      </w:r>
      <w:r>
        <w:rPr>
          <w:color w:val="000000"/>
        </w:rPr>
        <w:t>”</w:t>
      </w:r>
      <w:r>
        <w:rPr>
          <w:rFonts w:ascii="Times New Roman;serif" w:hAnsi="Times New Roman;serif"/>
          <w:b w:val="false"/>
          <w:color w:val="000000"/>
          <w:sz w:val="24"/>
        </w:rPr>
        <w:t xml:space="preserve">), the Company shall, prior to the </w:t>
      </w:r>
    </w:p>
    <w:p>
      <w:pPr>
        <w:pStyle w:val="TextBody"/>
        <w:bidi w:val="0"/>
        <w:spacing w:lineRule="auto" w:line="288" w:before="0" w:after="240"/>
        <w:jc w:val="left"/>
        <w:rPr/>
      </w:pPr>
      <w:r>
        <w:rPr>
          <w:rFonts w:ascii="Times New Roman;serif" w:hAnsi="Times New Roman;serif"/>
          <w:b w:val="false"/>
          <w:color w:val="000000"/>
          <w:sz w:val="24"/>
        </w:rPr>
        <w:t>Second Closing Date, notify each Participating Investor other than the Non-Participating Investor in writing (such notice, the “</w:t>
      </w:r>
      <w:r>
        <w:rPr>
          <w:rFonts w:ascii="Times New Roman;serif" w:hAnsi="Times New Roman;serif"/>
          <w:b/>
          <w:color w:val="000000"/>
          <w:sz w:val="24"/>
        </w:rPr>
        <w:t>Reallocation Notice</w:t>
      </w:r>
      <w:r>
        <w:rPr>
          <w:color w:val="000000"/>
        </w:rPr>
        <w:t>”</w:t>
      </w:r>
      <w:r>
        <w:rPr>
          <w:rFonts w:ascii="Times New Roman;serif" w:hAnsi="Times New Roman;serif"/>
          <w:b w:val="false"/>
          <w:color w:val="000000"/>
          <w:sz w:val="24"/>
        </w:rPr>
        <w:t>) of the total number of Unallocated Securities. Each Participating Investor receiving a Reallocation Notice shall have the right, but not the obligation, to purchase all or a portion of the Unallocated Securities at the Second Closing, at a purchase price per Additional Share equal to the Share Price and per Additional Pre-Funded Warrant equal to the Pre-Funded Warrant Price. Each Participating Investor desiring to purchase any Unallocated Securities shall notify the Company in writing of the number of Unallocated Securities it desires to purchase (such notice, the “</w:t>
      </w:r>
      <w:r>
        <w:rPr>
          <w:rFonts w:ascii="Times New Roman;serif" w:hAnsi="Times New Roman;serif"/>
          <w:b/>
          <w:color w:val="000000"/>
          <w:sz w:val="24"/>
        </w:rPr>
        <w:t>Reallocation Election Notice</w:t>
      </w:r>
      <w:r>
        <w:rPr>
          <w:color w:val="000000"/>
        </w:rPr>
        <w:t>”</w:t>
      </w:r>
      <w:r>
        <w:rPr>
          <w:rFonts w:ascii="Times New Roman;serif" w:hAnsi="Times New Roman;serif"/>
          <w:b w:val="false"/>
          <w:color w:val="000000"/>
          <w:sz w:val="24"/>
        </w:rPr>
        <w:t>) as soon as practicable and, in any event, no later than 24 hours following delivery of the Reallocation Notice.</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To the extent the Participating Investors collectively elect, pursuant to their Reallocation Election Notices, to purchase more than the total number of Unallocated Securities, the Unallocated Securities shall be allocated among such electing Participating Investors on a pro rata basis. For purposes of this Section 2.3(e), each electing Participating Investor’s “pro rata” share of the Unallocated Securities shall be equal to the product of, rounded down to the nearest whole number, (i) the aggregate number of Unallocated Securities multiplied by the quotient of (ii) (A) the total number of Initial Shares and/or Initial Pre-Funded Warrants previously purchased by such Participating Investor at the Initial Closing, divided by (B) the total number of Initial Shares and/or Initial Pre-Funded Warrants previously purchased by all Participating Investors at the Initial Closing; provided, however, that no Participating Investor shall be required to purchase more Unallocated Securities than such Participating Investor indicated in its Reallocation Election Notice (such difference, the “Cut-Back Securities”). To the extent any Cut-Back Securities remain, such Cut-Back Securities shall be offered to the remaining electing Participating Investors in a manner consistent with this Section 2.3(e). The Company shall prepare and deliver to the Investors an updated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and/or </w:t>
      </w:r>
      <w:r>
        <w:rPr>
          <w:rFonts w:ascii="Times New Roman;serif" w:hAnsi="Times New Roman;serif"/>
          <w:b w:val="false"/>
          <w:color w:val="000000"/>
          <w:sz w:val="24"/>
          <w:u w:val="single"/>
        </w:rPr>
        <w:t>Exhibit D</w:t>
      </w:r>
      <w:r>
        <w:rPr>
          <w:rFonts w:ascii="Times New Roman;serif" w:hAnsi="Times New Roman;serif"/>
          <w:b w:val="false"/>
          <w:color w:val="000000"/>
          <w:sz w:val="24"/>
        </w:rPr>
        <w:t>, as applicable, reflecting the final reallocation of the Unallocated Securities in accordance with Section 2.3(d) and this Section 2.3(e) in advance of the Second Closing.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At the Second Closing, each Participating Investor that has elected to purchase Unallocated Securities pursuant to Section 2.3(d) and Section 2.3(e) shall pay to the account designated by the Company, by wire transfer of immediately available funds, the aggregate purchase price for such Unallocated Securities, together with the amount set forth opposite its name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and the Company shall issue and register such Additional Shares and/or Additional Pre-Funded Warrants in the name of such Investor, or in such nominee name(s) as designated by such Investor, in the same manner as set forth in Section 2.3(b).</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(g)     The sales made at the Second Closing shall be made on the terms and conditions set forth in this Agreement, provided that (i) the representations and warranties of the Company set forth in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hereof shall speak only as of the Initial Closing Date, and (ii) the representations and warranties of the Investors participating in the Second Closing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hereof shall speak as of the Second Closing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The parties hereby acknowledge and agree that the Second Closing shall be the final closing under this Agreement with respect to the purchase and sale of the Additional Shares and Additional Pre-Funded Warrants, and no other subsequent closing shall occur under this Agreement. Any Additional Shares and/or Additional Pre-Funded Warrants that remain unpurchased following the Second Closing, after giving effect to any reallocation pursuant to Section 2.3(d) and Section 2.3(e), shall not be sold pursuant to this Agreement.</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2.    </w:t>
      </w:r>
      <w:r>
        <w:rPr>
          <w:rFonts w:ascii="Times New Roman;serif" w:hAnsi="Times New Roman;serif"/>
          <w:b w:val="false"/>
          <w:color w:val="000000"/>
          <w:sz w:val="24"/>
          <w:u w:val="single"/>
        </w:rPr>
        <w:t>Reference to and Effect on the Purchase Agreement</w:t>
      </w:r>
      <w:r>
        <w:rPr>
          <w:rFonts w:ascii="Times New Roman;serif" w:hAnsi="Times New Roman;serif"/>
          <w:b w:val="false"/>
          <w:color w:val="000000"/>
          <w:sz w:val="24"/>
        </w:rPr>
        <w:t xml:space="preserve">. It is the express intention of the parties hereto that this Amendment shall not, and shall not be interpreted to, expand or reduce the rights of any party to the Original Agreement except as and solely to the extent expressly provided herein. Except as expressly provided by this Amendment, the Original Agreement shall continue and remain in full force and effect in accordance with its terms. All references to the Purchase Agreement shall hereafter mean the Original Agreement as amended by this Amendment. </w:t>
      </w:r>
    </w:p>
    <w:p>
      <w:pPr>
        <w:pStyle w:val="TextBody"/>
        <w:bidi w:val="0"/>
        <w:spacing w:lineRule="auto" w:line="288" w:before="0" w:after="480"/>
        <w:ind w:left="0" w:right="0" w:firstLine="720"/>
        <w:jc w:val="both"/>
        <w:rPr/>
      </w:pPr>
      <w:r>
        <w:rPr>
          <w:rFonts w:ascii="Times New Roman;serif" w:hAnsi="Times New Roman;serif"/>
          <w:b w:val="false"/>
          <w:color w:val="010000"/>
          <w:sz w:val="24"/>
        </w:rPr>
        <w:t>3.    </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Sections 9.4 (Severability), 9.5 (Governing Law; Submission to Jurisdiction; Venue; Waiver of Trial by Jury), 9.13 (Headings) and 9.14 (Counterparts) of the Original Agreement are hereby incorporated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Amendment to the Original Agreement has been duly executed and delivered by the parties hereto as of the date first written above.</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tbl>
      <w:tblPr>
        <w:tblW w:w="5573" w:type="dxa"/>
        <w:jc w:val="left"/>
        <w:tblInd w:w="0" w:type="dxa"/>
        <w:tblLayout w:type="fixed"/>
        <w:tblCellMar>
          <w:top w:w="28" w:type="dxa"/>
          <w:left w:w="28" w:type="dxa"/>
          <w:bottom w:w="28" w:type="dxa"/>
          <w:right w:w="28" w:type="dxa"/>
        </w:tblCellMar>
      </w:tblPr>
      <w:tblGrid>
        <w:gridCol w:w="124"/>
        <w:gridCol w:w="109"/>
        <w:gridCol w:w="109"/>
        <w:gridCol w:w="807"/>
        <w:gridCol w:w="807"/>
        <w:gridCol w:w="807"/>
        <w:gridCol w:w="807"/>
        <w:gridCol w:w="807"/>
        <w:gridCol w:w="8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u w:val="single"/>
              </w:rPr>
              <w:t>COMPANY</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CAMP4 THERAPEUTICS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Josh Mandel-Brehm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Josh Mandel-Brehm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Amendment to the Original Agreement has been duly executed and delivered by the parties hereto as of the date first written above.</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38" w:type="dxa"/>
        <w:jc w:val="left"/>
        <w:tblInd w:w="0" w:type="dxa"/>
        <w:tblLayout w:type="fixed"/>
        <w:tblCellMar>
          <w:top w:w="28" w:type="dxa"/>
          <w:left w:w="28" w:type="dxa"/>
          <w:bottom w:w="28" w:type="dxa"/>
          <w:right w:w="28" w:type="dxa"/>
        </w:tblCellMar>
      </w:tblPr>
      <w:tblGrid>
        <w:gridCol w:w="124"/>
        <w:gridCol w:w="109"/>
        <w:gridCol w:w="109"/>
        <w:gridCol w:w="245"/>
        <w:gridCol w:w="245"/>
        <w:gridCol w:w="245"/>
        <w:gridCol w:w="229"/>
        <w:gridCol w:w="229"/>
        <w:gridCol w:w="2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u w:val="single"/>
              </w:rPr>
              <w:t>INVESTOR</w:t>
            </w: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914400" cy="5143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4"/>
                    <a:stretch>
                      <a:fillRect/>
                    </a:stretch>
                  </pic:blipFill>
                  <pic:spPr bwMode="auto">
                    <a:xfrm>
                      <a:off x="0" y="0"/>
                      <a:ext cx="914400" cy="514350"/>
                    </a:xfrm>
                    <a:prstGeom prst="rect">
                      <a:avLst/>
                    </a:prstGeom>
                  </pic:spPr>
                </pic:pic>
              </a:graphicData>
            </a:graphic>
          </wp:inline>
        </w:drawing>
      </w:r>
    </w:p>
    <w:p>
      <w:pPr>
        <w:pStyle w:val="TextBody"/>
        <w:bidi w:val="0"/>
        <w:spacing w:lineRule="auto" w:line="321" w:before="0" w:after="240"/>
        <w:jc w:val="center"/>
        <w:rPr>
          <w:rFonts w:ascii="Arial;sans-serif" w:hAnsi="Arial;sans-serif"/>
          <w:b/>
          <w:color w:val="000000"/>
          <w:sz w:val="24"/>
        </w:rPr>
      </w:pPr>
      <w:r>
        <w:rPr>
          <w:rFonts w:ascii="Arial;sans-serif" w:hAnsi="Arial;sans-serif"/>
          <w:b/>
          <w:color w:val="000000"/>
          <w:sz w:val="24"/>
        </w:rPr>
        <w:t xml:space="preserve">CAMP4 Therapeutics Announces Second Closing of $100 Million Private Placement </w:t>
      </w:r>
    </w:p>
    <w:p>
      <w:pPr>
        <w:pStyle w:val="TextBody"/>
        <w:bidi w:val="0"/>
        <w:spacing w:lineRule="auto" w:line="321" w:before="0" w:after="480"/>
        <w:jc w:val="center"/>
        <w:rPr>
          <w:rFonts w:ascii="Arial;sans-serif" w:hAnsi="Arial;sans-serif"/>
          <w:b w:val="false"/>
          <w:i/>
          <w:color w:val="000000"/>
          <w:sz w:val="22"/>
        </w:rPr>
      </w:pPr>
      <w:r>
        <w:rPr>
          <w:rFonts w:ascii="Arial;sans-serif" w:hAnsi="Arial;sans-serif"/>
          <w:b w:val="false"/>
          <w:i/>
          <w:color w:val="000000"/>
          <w:sz w:val="22"/>
        </w:rPr>
        <w:t>Proceeds of $50.1 million will be used to support the Company’s advancement of CMP-002 for the treatment of SYNGAP1-related disorder</w:t>
      </w:r>
    </w:p>
    <w:p>
      <w:pPr>
        <w:pStyle w:val="TextBody"/>
        <w:bidi w:val="0"/>
        <w:spacing w:lineRule="auto" w:line="321" w:before="0" w:after="240"/>
        <w:jc w:val="left"/>
        <w:rPr/>
      </w:pPr>
      <w:r>
        <w:rPr>
          <w:rFonts w:ascii="Arial;sans-serif" w:hAnsi="Arial;sans-serif"/>
          <w:b/>
          <w:color w:val="000000"/>
          <w:sz w:val="22"/>
        </w:rPr>
        <w:t>CAMBRIDGE, Mass., August 04, 2026 (GLOBE NEWSWIRE)</w:t>
      </w:r>
      <w:r>
        <w:rPr>
          <w:color w:val="000000"/>
        </w:rPr>
        <w:t xml:space="preserve"> </w:t>
      </w:r>
      <w:r>
        <w:rPr>
          <w:rFonts w:ascii="Arial;sans-serif" w:hAnsi="Arial;sans-serif"/>
          <w:b w:val="false"/>
          <w:color w:val="000000"/>
          <w:sz w:val="22"/>
        </w:rPr>
        <w:t xml:space="preserve">-- CAMP4 Therapeutics Corporation ("CAMP4" or "the Company") (Nasdaq: CAMP), a clinical-stage biopharmaceutical company developing a pipeline of regulatory RNA-targeting therapeutics designed to upregulate gene expression with the goal of restoring healthy protein levels to treat a broad range of genetic diseases, today announced the closing of the second tranche of its previously announced private placement pursuant to a securities purchase agreement, dated September 9, 2025, with certain institutional and accredited investors. </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In connection with the second closing, the Company received approximately $50.1 million in gross proceeds in exchange for 10,756,498 shares of common stock priced at $1.53 per share of common stock, 39,306 shares of common stock priced at $1.65 to certain directors, employees and consultants of the Company, and 21,925,368 pre-funded warrants in lieu of common stock for $1.5299 for each pre-funded warrant sold in lieu of common stock. The Company intends to use the net proceeds from the private placement to support the continued advancement of CMP-002, for which the Company recently announced it had received clearance from Australia's Therapeutic Goods Administration and local Human Research Ethics Committee to initiate a Phase 1/2 clinical trial in SYNGAP1-related disorder, as well as to support the continued development of the Company’s early-stage pipeline.</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 xml:space="preserve">Investors that participated in the second closing include Coastlands Capital, Janus Henderson Investors, Balyasny Asset Management, Vivo Capital, 5AM Ventures, Adage Capital Management LP, Trails Edge Capital Partners and CURE SYNGAP1. </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Leerink Partners acted as lead placement agent in connection with the second closing. Piper Sandler &amp; Co., Cantor Fitzgerald &amp; Co. and Wedbush Securities Inc. acted as co-placement agents.</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The securities offered in the private placement, including the shares underlying the pre-funded warrants, were sold in a transaction not involving a public offering and have not been registered under the Securities Act of 1933, as amended (the “Securities Act”), or under any applicable state securities laws. Accordingly, the securities may not be reoffered or resold in the United States except pursuant to an effective registration statement or an applicable exemption from the registration requirements of the Securities Act and such applicable state securities laws. The investors have been granted customary resale registration rights for the shares of common stock issuable upon exercise of the pre-funded warrants issued to them in the financing. </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 xml:space="preserve">This press release shall not constitute an offer to sell or a solicitation of an offer to purchase the securities described herein, nor shall there be any sale of such securities in any jurisdiction in </w:t>
      </w:r>
    </w:p>
    <w:p>
      <w:pPr>
        <w:pStyle w:val="TextBody"/>
        <w:bidi w:val="0"/>
        <w:spacing w:before="0" w:after="0"/>
        <w:jc w:val="left"/>
        <w:rPr/>
      </w:pPr>
      <w:r>
        <w:rPr/>
        <w:drawing>
          <wp:inline distT="0" distB="0" distL="0" distR="0">
            <wp:extent cx="914400" cy="5143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5"/>
                    <a:stretch>
                      <a:fillRect/>
                    </a:stretch>
                  </pic:blipFill>
                  <pic:spPr bwMode="auto">
                    <a:xfrm>
                      <a:off x="0" y="0"/>
                      <a:ext cx="914400" cy="5143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which such offer, solicitation, or sale would be unlawful prior to registration or qualification under the securities laws of that jurisdiction.</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For further information, please see the Company’s current report on Form 8-K to be filed with the SEC.</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About SYNGAP1-Related Disorder</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SYNGAP1-related disorder (also referred to as SYNGAP1) is a rare, haploinsufficient CNS disorder caused by mutations in the SYNGAP1 gene, resulting in approximately 50% of normal SYNGAP protein levels. The condition affects over 10,000 individuals in the United States and is characterized by intellectual disability in 100% of patients, epilepsy in approximately 85%, severe behavioral problems in approximately 70%, sleep problems in approximately 60%, and limited communication, with approximately 30% of patients being non-verbal. There are currently no approved disease-modifying therapies for patients living with SYNGAP1.</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About CMP-002</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 xml:space="preserve">CMP-002 is CAMP4's lead investigational antisense oligonucleotide (ASO) therapeutic candidate designed to bind to a SYNGAP1-specific regRNA to increase SYNGAP1 gene expression and restore SYNGAP protein toward near wild-type levels. Administered intrathecally, CMP-002 has demonstrated dose-dependent increases in SYNGAP protein expression in patient-derived neurons, reversal of disease-relevant behavioral phenotypes in a humanized haploinsufficient mouse model, statistically significant improvement of seizure phenotypes and parameters in a chemically induced seizure mouse model, and broad brain distribution with significant SYNGAP protein upregulation in non-human primates. </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About CAMP4 Therapeutics</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 xml:space="preserve">CAMP4 is developing disease-modifying treatments for a broad range of genetic diseases where amplifying healthy protein may offer therapeutic benefits. Our approach amplifies mRNA by harnessing a fundamental mechanism of how genes are controlled. To amplify mRNA, our therapeutic ASO drug candidates target regulatory RNAs (regRNAs), which act locally on transcription factors and are the master regulators of gene expression. CAMP4's proprietary RAP Platform® enables the mapping of regRNAs and generation of therapeutic candidates designed to target the regRNAs associated with genes underlying haploinsufficient and recessive partial loss-of-function disorders, of which there are more than 1,200, in which a modest increase in protein expression may have the potential to be clinically meaningful. </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w:t>
      </w:r>
    </w:p>
    <w:p>
      <w:pPr>
        <w:pStyle w:val="TextBody"/>
        <w:bidi w:val="0"/>
        <w:spacing w:before="0" w:after="0"/>
        <w:jc w:val="left"/>
        <w:rPr/>
      </w:pPr>
      <w:r>
        <w:rPr/>
        <w:drawing>
          <wp:inline distT="0" distB="0" distL="0" distR="0">
            <wp:extent cx="914400" cy="5143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6"/>
                    <a:stretch>
                      <a:fillRect/>
                    </a:stretch>
                  </pic:blipFill>
                  <pic:spPr bwMode="auto">
                    <a:xfrm>
                      <a:off x="0" y="0"/>
                      <a:ext cx="914400" cy="5143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240"/>
        <w:jc w:val="left"/>
        <w:rPr>
          <w:rFonts w:ascii="Arial;sans-serif" w:hAnsi="Arial;sans-serif"/>
          <w:b w:val="false"/>
          <w:color w:val="000000"/>
          <w:sz w:val="22"/>
        </w:rPr>
      </w:pPr>
      <w:r>
        <w:rPr>
          <w:rFonts w:ascii="Arial;sans-serif" w:hAnsi="Arial;sans-serif"/>
          <w:b w:val="false"/>
          <w:color w:val="000000"/>
          <w:sz w:val="22"/>
        </w:rPr>
        <w:t>looking statements contain these words. Forward-looking statements include, but are not limited to, statements regarding the Company’s planned use of proceeds from the private placement; the initiation, timing, conduct, and advancement of CMP-002 into a clinical trial; the potential therapeutic benefits of CMP-002; the Company’s regulatory, clinical and development plans; and the satisfaction of closing conditions.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uncertainty of preclinical and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the Company's dependence on the services of the Company's senior management and other clinical and scientific personnel, and the Company's ability to retain these individuals or recruit additional management or clinical and scientific personnel;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platform technology and product candidates; and other risks and uncertainties described in the section "Risk Factors" in the Company's Annual Report on Form 10-K for the year ended December 31, 2025 and Quarterly Report on Form 10-Q for the quarter ended March 31, 2026, as well as other information the Company files with the Securities and Exchange Commission. The forward-looking statements in this press release are inherently uncertain and are not guarantees of future events. Because forward-looking statements are inherently subject to risks and uncertainties, some of which cannot be predicted or quantified and some of which are beyond the Company's control, you should not unduly rely on these forward-looking statements.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Investors, potential investors, and others should give careful consideration to these risks and uncertainties. Except as required by applicable law, the Company does not undertake to publicly update or revise any forward-looking statements contained herein, whether as a result of any new information, future events, changed circumstances or otherwise.</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 xml:space="preserve">Investor Relations: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Sara Michelmore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Milestone Advisors </w:t>
      </w:r>
    </w:p>
    <w:p>
      <w:pPr>
        <w:pStyle w:val="TextBody"/>
        <w:bidi w:val="0"/>
        <w:spacing w:lineRule="auto" w:line="321" w:before="0" w:after="720"/>
        <w:jc w:val="left"/>
        <w:rPr>
          <w:rFonts w:ascii="Arial;sans-serif" w:hAnsi="Arial;sans-serif"/>
          <w:b w:val="false"/>
          <w:color w:val="000000"/>
          <w:sz w:val="22"/>
        </w:rPr>
      </w:pPr>
      <w:r>
        <w:rPr>
          <w:rFonts w:ascii="Arial;sans-serif" w:hAnsi="Arial;sans-serif"/>
          <w:b w:val="false"/>
          <w:color w:val="000000"/>
          <w:sz w:val="22"/>
        </w:rPr>
        <w:t>sara@milestone-advisorsllc.com</w:t>
      </w:r>
    </w:p>
    <w:p>
      <w:pPr>
        <w:pStyle w:val="TextBody"/>
        <w:bidi w:val="0"/>
        <w:spacing w:before="0" w:after="0"/>
        <w:jc w:val="left"/>
        <w:rPr/>
      </w:pPr>
      <w:r>
        <w:rPr/>
        <w:drawing>
          <wp:inline distT="0" distB="0" distL="0" distR="0">
            <wp:extent cx="914400" cy="5143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7"/>
                    <a:stretch>
                      <a:fillRect/>
                    </a:stretch>
                  </pic:blipFill>
                  <pic:spPr bwMode="auto">
                    <a:xfrm>
                      <a:off x="0" y="0"/>
                      <a:ext cx="914400" cy="5143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 xml:space="preserve">Media: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Sofia Bermudez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LifeSci Communications </w:t>
      </w:r>
    </w:p>
    <w:p>
      <w:pPr>
        <w:pStyle w:val="TextBody"/>
        <w:bidi w:val="0"/>
        <w:spacing w:lineRule="auto" w:line="321"/>
        <w:jc w:val="left"/>
        <w:rPr>
          <w:rFonts w:ascii="Arial;sans-serif" w:hAnsi="Arial;sans-serif"/>
          <w:b w:val="false"/>
          <w:color w:val="000000"/>
          <w:sz w:val="22"/>
        </w:rPr>
      </w:pPr>
      <w:r>
        <w:rPr>
          <w:rFonts w:ascii="Arial;sans-serif" w:hAnsi="Arial;sans-serif"/>
          <w:b w:val="false"/>
          <w:color w:val="000000"/>
          <w:sz w:val="22"/>
        </w:rPr>
        <w:t>sbermudez@lifescicomms.com</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6730/000173673025000072/exhibit41-formofprexfunded.htm" TargetMode="External"/><Relationship Id="rId3" Type="http://schemas.openxmlformats.org/officeDocument/2006/relationships/hyperlink" Target="https://www.sec.gov/Archives/edgar/data/1736730/000173673025000072/exhibit102-registrationrig.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4538</Words>
  <Characters>25877</Characters>
  <CharactersWithSpaces>30339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