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CAMP4 THERAPEUTICS CORPORATION</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820" w:type="dxa"/>
        <w:tblCellMar>
          <w:top w:w="0" w:type="dxa"/>
          <w:left w:w="0" w:type="dxa"/>
          <w:bottom w:w="0" w:type="dxa"/>
          <w:right w:w="0" w:type="dxa"/>
        </w:tblCellMar>
      </w:tblPr>
      <w:tr>
        <w:trPr>
          <w:trHeight w:val="238"/>
        </w:trPr>
        <w:tc>
          <w:tcPr>
            <w:tcW w:w="416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00" w:type="dxa"/>
            <w:vAlign w:val="bottom"/>
          </w:tcPr>
          <w:p>
            <w:pPr>
              <w:jc w:val="center"/>
              <w:ind w:right="1090"/>
              <w:spacing w:after="0"/>
              <w:rPr>
                <w:sz w:val="20"/>
                <w:szCs w:val="20"/>
                <w:color w:val="auto"/>
              </w:rPr>
            </w:pPr>
            <w:r>
              <w:rPr>
                <w:rFonts w:ascii="Times New Roman" w:cs="Times New Roman" w:eastAsia="Times New Roman" w:hAnsi="Times New Roman"/>
                <w:sz w:val="18"/>
                <w:szCs w:val="18"/>
                <w:b w:val="1"/>
                <w:bCs w:val="1"/>
                <w:color w:val="auto"/>
                <w:w w:val="99"/>
              </w:rPr>
              <w:t>001-42365</w:t>
            </w:r>
          </w:p>
        </w:tc>
        <w:tc>
          <w:tcPr>
            <w:tcW w:w="27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81-1152476</w:t>
            </w:r>
          </w:p>
        </w:tc>
      </w:tr>
      <w:tr>
        <w:trPr>
          <w:trHeight w:val="248"/>
        </w:trPr>
        <w:tc>
          <w:tcPr>
            <w:tcW w:w="416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240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60" w:type="dxa"/>
            <w:vAlign w:val="bottom"/>
          </w:tcPr>
          <w:p>
            <w:pPr>
              <w:jc w:val="center"/>
              <w:ind w:right="203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2400" w:type="dxa"/>
            <w:vAlign w:val="bottom"/>
          </w:tcPr>
          <w:p>
            <w:pPr>
              <w:jc w:val="center"/>
              <w:ind w:right="107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518"/>
        </w:trPr>
        <w:tc>
          <w:tcPr>
            <w:tcW w:w="41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One Kendall Square</w:t>
            </w:r>
          </w:p>
        </w:tc>
        <w:tc>
          <w:tcPr>
            <w:tcW w:w="24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416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Building 1400 West, 3rd Floor</w:t>
            </w:r>
          </w:p>
        </w:tc>
        <w:tc>
          <w:tcPr>
            <w:tcW w:w="24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38"/>
        </w:trPr>
        <w:tc>
          <w:tcPr>
            <w:tcW w:w="416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2400" w:type="dxa"/>
            <w:vAlign w:val="bottom"/>
          </w:tcPr>
          <w:p>
            <w:pPr>
              <w:spacing w:after="0"/>
              <w:rPr>
                <w:sz w:val="20"/>
                <w:szCs w:val="20"/>
                <w:color w:val="auto"/>
              </w:rPr>
            </w:pPr>
          </w:p>
        </w:tc>
        <w:tc>
          <w:tcPr>
            <w:tcW w:w="27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02139</w:t>
            </w:r>
          </w:p>
        </w:tc>
      </w:tr>
      <w:tr>
        <w:trPr>
          <w:trHeight w:val="270"/>
        </w:trPr>
        <w:tc>
          <w:tcPr>
            <w:tcW w:w="6560" w:type="dxa"/>
            <w:vAlign w:val="bottom"/>
            <w:gridSpan w:val="2"/>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70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651-8867</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5"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700" w:type="dxa"/>
            <w:vAlign w:val="bottom"/>
          </w:tcPr>
          <w:p>
            <w:pPr>
              <w:spacing w:after="0"/>
              <w:rPr>
                <w:sz w:val="20"/>
                <w:szCs w:val="20"/>
                <w:color w:val="auto"/>
              </w:rPr>
            </w:pPr>
          </w:p>
        </w:tc>
      </w:tr>
      <w:tr>
        <w:trPr>
          <w:trHeight w:val="464"/>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38"/>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840" w:type="dxa"/>
            <w:vAlign w:val="bottom"/>
            <w:gridSpan w:val="2"/>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7"/>
        </w:trPr>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236"/>
        </w:trPr>
        <w:tc>
          <w:tcPr>
            <w:tcW w:w="4680" w:type="dxa"/>
            <w:vAlign w:val="bottom"/>
            <w:gridSpan w:val="3"/>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2840" w:type="dxa"/>
            <w:vAlign w:val="bottom"/>
            <w:gridSpan w:val="2"/>
          </w:tcPr>
          <w:p>
            <w:pPr>
              <w:jc w:val="center"/>
              <w:ind w:right="1020"/>
              <w:spacing w:after="0"/>
              <w:rPr>
                <w:sz w:val="20"/>
                <w:szCs w:val="20"/>
                <w:color w:val="auto"/>
              </w:rPr>
            </w:pPr>
            <w:r>
              <w:rPr>
                <w:rFonts w:ascii="Times New Roman" w:cs="Times New Roman" w:eastAsia="Times New Roman" w:hAnsi="Times New Roman"/>
                <w:sz w:val="18"/>
                <w:szCs w:val="18"/>
                <w:b w:val="1"/>
                <w:bCs w:val="1"/>
                <w:color w:val="auto"/>
                <w:w w:val="99"/>
              </w:rPr>
              <w:t>CAMP</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79"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9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ectPr>
          <w:pgSz w:w="11900" w:h="16838" w:orient="portrait"/>
          <w:cols w:equalWidth="0" w:num="1">
            <w:col w:w="11220"/>
          </w:cols>
          <w:pgMar w:left="320" w:top="1440" w:right="35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2024 Equity Incentive Plan</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10, 2026, at the annual meeting of stockholders (the “Annual Meeting”) of CAMP4 Therapeutics Corporation (the “Company”), the stockholders of the Company approved an amendment to the CAMP4 Therapeutics Corporation 2024 Equity Incentive Plan (the “2024 Plan”) to amend the evergreen provision to provide that any of the Company’s outstanding pre-funded warrants shall be added to the total number of shares of common stock that are issued and outstanding as of each December 31 to which the evergreen formula will be applied for purposes of calculating the annual increase, as further described in the Company’s Definitive Proxy Statement filed with the U.S. Securities and Exchange Commission on April 23, 2026 (the “Proxy Statement”).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“Board”) previously approved the amendment to the 2024 Plan, subject to stockholder approval. The foregoing summary of the amendment to the 2024 Plan is qualified in its entirety by reference to the full text of the amendment to the 2024 Plan, which is attached as Exhibit 10.1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2026 Inducement Plan</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June 10, 2026, the Board approved the CAMP4 Therapeutics Corporation 2026 Inducement Plan (the “Inducement Plan”) and the form of Non-Statutory Stock Option Agreement under the Inducement Plan (the “Form Inducement Option Agreement”). Pursuant to the terms of the Inducement Plan, the Company may grant non-statutory stock options, stock appreciation rights, stock units, restricted stock units, performance awards, and other stock-based awards with respect to up to a total of 500,000 shares of common stock of the Company, as an inducement to individuals being hired, or rehired following a bona fide period of interruption of employment, as an employee of the Company or any of its subsidiaries. In accordance with Nasdaq Listing Rule 5635(c)(4), the Company did not seek stockholder approval of the Inducement Plan. The Form Inducement Option Agreement will be used to evidence awards of stock options that are granted under the Inducement Plan.</w:t>
      </w:r>
    </w:p>
    <w:p>
      <w:pPr>
        <w:spacing w:after="0" w:line="18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foregoing summary of the material terms of the Inducement Plan and the Form Inducement Option Agreement is qualified in its entirety by reference to the full text of the Inducement Plan and the Form Inducement Option Agreement, which are attached as Exhibit 10.2 and Exhibit 10.3 to this Current Report on Form 8-K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10, 2026, the Company held its Annual Meeting. Set forth below are the voting results for the proposals considered at the Annual Meeting, each of which is described in the Company’s Proxy Statement.</w:t>
      </w:r>
    </w:p>
    <w:p>
      <w:pPr>
        <w:spacing w:after="0" w:line="162" w:lineRule="exact"/>
        <w:rPr>
          <w:sz w:val="20"/>
          <w:szCs w:val="20"/>
          <w:color w:val="auto"/>
        </w:rPr>
      </w:pPr>
    </w:p>
    <w:p>
      <w:pPr>
        <w:ind w:left="660" w:right="3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nominees were elected as the Company’s Class II directors, each to serve for a three-year term until the 2029 annual meeting of stockholders, and until his successor shall have been duly elected and qualified, based on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684530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0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Nominees</w:t>
            </w:r>
          </w:p>
        </w:tc>
        <w:tc>
          <w:tcPr>
            <w:tcW w:w="1100" w:type="dxa"/>
            <w:vAlign w:val="bottom"/>
            <w:shd w:val="clear" w:color="auto" w:fill="CCEEFF"/>
          </w:tcPr>
          <w:p>
            <w:pPr>
              <w:spacing w:after="0"/>
              <w:rPr>
                <w:sz w:val="17"/>
                <w:szCs w:val="17"/>
                <w:color w:val="auto"/>
              </w:rPr>
            </w:pPr>
          </w:p>
        </w:tc>
        <w:tc>
          <w:tcPr>
            <w:tcW w:w="1980" w:type="dxa"/>
            <w:vAlign w:val="bottom"/>
            <w:gridSpan w:val="3"/>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8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center"/>
              <w:ind w:right="15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780" w:type="dxa"/>
            <w:vAlign w:val="bottom"/>
            <w:gridSpan w:val="2"/>
            <w:shd w:val="clear" w:color="auto" w:fill="CCEEFF"/>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780" w:type="dxa"/>
            <w:vAlign w:val="bottom"/>
            <w:gridSpan w:val="2"/>
            <w:shd w:val="clear" w:color="auto" w:fill="CCEEFF"/>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9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7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9"/>
              </w:rPr>
              <w:t>Steven Holtzman</w:t>
            </w:r>
          </w:p>
        </w:tc>
        <w:tc>
          <w:tcPr>
            <w:tcW w:w="1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29,233,042</w:t>
            </w:r>
          </w:p>
        </w:tc>
        <w:tc>
          <w:tcPr>
            <w:tcW w:w="29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7,992,146</w:t>
            </w:r>
          </w:p>
        </w:tc>
        <w:tc>
          <w:tcPr>
            <w:tcW w:w="1780" w:type="dxa"/>
            <w:vAlign w:val="bottom"/>
            <w:gridSpan w:val="2"/>
          </w:tcPr>
          <w:p>
            <w:pPr>
              <w:jc w:val="center"/>
              <w:ind w:right="120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2,773,446</w:t>
            </w:r>
          </w:p>
        </w:tc>
        <w:tc>
          <w:tcPr>
            <w:tcW w:w="400" w:type="dxa"/>
            <w:vAlign w:val="bottom"/>
          </w:tcPr>
          <w:p>
            <w:pPr>
              <w:spacing w:after="0"/>
              <w:rPr>
                <w:sz w:val="19"/>
                <w:szCs w:val="19"/>
                <w:color w:val="auto"/>
              </w:rPr>
            </w:pPr>
          </w:p>
        </w:tc>
      </w:tr>
      <w:tr>
        <w:trPr>
          <w:trHeight w:val="229"/>
        </w:trPr>
        <w:tc>
          <w:tcPr>
            <w:tcW w:w="27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Murray Stewart, DM FRCP</w:t>
            </w:r>
          </w:p>
        </w:tc>
        <w:tc>
          <w:tcPr>
            <w:tcW w:w="1980" w:type="dxa"/>
            <w:vAlign w:val="bottom"/>
            <w:gridSpan w:val="3"/>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rPr>
              <w:t>31,669,512</w:t>
            </w:r>
          </w:p>
        </w:tc>
        <w:tc>
          <w:tcPr>
            <w:tcW w:w="2940" w:type="dxa"/>
            <w:vAlign w:val="bottom"/>
            <w:gridSpan w:val="3"/>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color w:val="auto"/>
                <w:w w:val="99"/>
              </w:rPr>
              <w:t>5,555,665</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1180" w:type="dxa"/>
            <w:vAlign w:val="bottom"/>
            <w:shd w:val="clear" w:color="auto" w:fill="CCEEFF"/>
          </w:tcPr>
          <w:p>
            <w:pPr>
              <w:spacing w:after="0"/>
              <w:rPr>
                <w:sz w:val="19"/>
                <w:szCs w:val="19"/>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2,773,446</w:t>
            </w:r>
          </w:p>
        </w:tc>
        <w:tc>
          <w:tcPr>
            <w:tcW w:w="400" w:type="dxa"/>
            <w:vAlign w:val="bottom"/>
            <w:shd w:val="clear" w:color="auto" w:fill="CCEEFF"/>
          </w:tcPr>
          <w:p>
            <w:pPr>
              <w:spacing w:after="0"/>
              <w:rPr>
                <w:sz w:val="19"/>
                <w:szCs w:val="19"/>
                <w:color w:val="auto"/>
              </w:rPr>
            </w:pPr>
          </w:p>
        </w:tc>
      </w:tr>
      <w:tr>
        <w:trPr>
          <w:trHeight w:val="234"/>
        </w:trPr>
        <w:tc>
          <w:tcPr>
            <w:tcW w:w="27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8"/>
              </w:rPr>
              <w:t>Richard Young, PhD</w:t>
            </w:r>
          </w:p>
        </w:tc>
        <w:tc>
          <w:tcPr>
            <w:tcW w:w="19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29,212,962</w:t>
            </w:r>
          </w:p>
        </w:tc>
        <w:tc>
          <w:tcPr>
            <w:tcW w:w="29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8,012,214</w:t>
            </w: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18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2,773,446</w:t>
            </w:r>
          </w:p>
        </w:tc>
        <w:tc>
          <w:tcPr>
            <w:tcW w:w="400" w:type="dxa"/>
            <w:vAlign w:val="bottom"/>
          </w:tcPr>
          <w:p>
            <w:pPr>
              <w:spacing w:after="0"/>
              <w:rPr>
                <w:sz w:val="20"/>
                <w:szCs w:val="20"/>
                <w:color w:val="auto"/>
              </w:rPr>
            </w:pPr>
          </w:p>
        </w:tc>
      </w:tr>
    </w:tbl>
    <w:p>
      <w:pPr>
        <w:spacing w:after="0" w:line="287" w:lineRule="exact"/>
        <w:rPr>
          <w:sz w:val="20"/>
          <w:szCs w:val="20"/>
          <w:color w:val="auto"/>
        </w:rPr>
      </w:pPr>
    </w:p>
    <w:p>
      <w:pPr>
        <w:ind w:left="660" w:right="6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ratified the appointment of Ernst &amp; Young LLP as the Company’s independent registered public accounting firm for the Company’s fiscal year ending December 31, 2026, based on the following votes: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20" w:type="dxa"/>
            <w:vAlign w:val="bottom"/>
            <w:gridSpan w:val="3"/>
            <w:shd w:val="clear" w:color="auto" w:fill="CCEEFF"/>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420" w:type="dxa"/>
            <w:vAlign w:val="bottom"/>
            <w:gridSpan w:val="2"/>
            <w:shd w:val="clear" w:color="auto" w:fill="CCEEFF"/>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234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39,998,507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w:t>
            </w:r>
          </w:p>
        </w:tc>
        <w:tc>
          <w:tcPr>
            <w:tcW w:w="1640" w:type="dxa"/>
            <w:vAlign w:val="bottom"/>
          </w:tcPr>
          <w:p>
            <w:pPr>
              <w:spacing w:after="0"/>
              <w:rPr>
                <w:sz w:val="20"/>
                <w:szCs w:val="20"/>
                <w:color w:val="auto"/>
              </w:rPr>
            </w:pPr>
          </w:p>
        </w:tc>
        <w:tc>
          <w:tcPr>
            <w:tcW w:w="142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7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approved the amendment to the CAMP4 Therapeutics Corporation 2024 Equity Incentive Plan, based on the following votes: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4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60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23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27,002,145</w:t>
            </w:r>
          </w:p>
        </w:tc>
        <w:tc>
          <w:tcPr>
            <w:tcW w:w="232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10,023,588</w:t>
            </w:r>
          </w:p>
        </w:tc>
        <w:tc>
          <w:tcPr>
            <w:tcW w:w="13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w w:val="99"/>
              </w:rPr>
              <w:t>199,455</w:t>
            </w:r>
          </w:p>
        </w:tc>
        <w:tc>
          <w:tcPr>
            <w:tcW w:w="1240" w:type="dxa"/>
            <w:vAlign w:val="bottom"/>
          </w:tcPr>
          <w:p>
            <w:pPr>
              <w:spacing w:after="0"/>
              <w:rPr>
                <w:sz w:val="20"/>
                <w:szCs w:val="20"/>
                <w:color w:val="auto"/>
              </w:rPr>
            </w:pP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2,773,446</w:t>
            </w:r>
          </w:p>
        </w:tc>
        <w:tc>
          <w:tcPr>
            <w:tcW w:w="420" w:type="dxa"/>
            <w:vAlign w:val="bottom"/>
          </w:tcPr>
          <w:p>
            <w:pPr>
              <w:spacing w:after="0"/>
              <w:rPr>
                <w:sz w:val="20"/>
                <w:szCs w:val="20"/>
                <w:color w:val="auto"/>
              </w:rPr>
            </w:pP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1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486"/>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63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Amendment No. 1 to the CAMP4 Therapeutics Corporation 2024 Equity Incentive Plan</w:t>
            </w:r>
          </w:p>
        </w:tc>
        <w:tc>
          <w:tcPr>
            <w:tcW w:w="3560" w:type="dxa"/>
            <w:vAlign w:val="bottom"/>
            <w:gridSpan w:val="2"/>
          </w:tcPr>
          <w:p>
            <w:pPr>
              <w:spacing w:after="0"/>
              <w:rPr>
                <w:sz w:val="17"/>
                <w:szCs w:val="17"/>
                <w:color w:val="auto"/>
              </w:rPr>
            </w:pPr>
          </w:p>
        </w:tc>
      </w:tr>
      <w:tr>
        <w:trPr>
          <w:trHeight w:val="25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1"/>
                <w:szCs w:val="21"/>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CAMP4 Therapeutics Corporation 2026 Inducement Plan</w:t>
            </w: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42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9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Form of Non-Statutory Stock Option Agreement under the CAMP4 Therapeutics Corporation 2026 Inducement Plan</w:t>
            </w:r>
          </w:p>
        </w:tc>
      </w:tr>
      <w:tr>
        <w:trPr>
          <w:trHeight w:val="29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84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1480" w:type="dxa"/>
            <w:vAlign w:val="bottom"/>
          </w:tcPr>
          <w:p>
            <w:pPr>
              <w:spacing w:after="0"/>
              <w:rPr>
                <w:sz w:val="24"/>
                <w:szCs w:val="24"/>
                <w:color w:val="auto"/>
              </w:rPr>
            </w:pPr>
          </w:p>
        </w:tc>
      </w:tr>
      <w:tr>
        <w:trPr>
          <w:trHeight w:val="1263"/>
        </w:trPr>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6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CAMP4 THERAPEUTICS CORPORATION</w:t>
      </w:r>
    </w:p>
    <w:p>
      <w:pPr>
        <w:spacing w:after="0" w:line="337"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8"/>
          <w:szCs w:val="18"/>
          <w:color w:val="auto"/>
        </w:rPr>
        <w:t>By:</w:t>
        <w:tab/>
        <w:t>/s/ Josh Mandel-Brehm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34290</wp:posOffset>
            </wp:positionV>
            <wp:extent cx="33089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 Josh Mandel-Brehm</w:t>
      </w:r>
    </w:p>
    <w:p>
      <w:pPr>
        <w:spacing w:after="0" w:line="6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12, 2026</w:t>
      </w:r>
    </w:p>
    <w:p>
      <w:pPr>
        <w:sectPr>
          <w:pgSz w:w="11900" w:h="16838" w:orient="portrait"/>
          <w:cols w:equalWidth="0" w:num="1">
            <w:col w:w="11200"/>
          </w:cols>
          <w:pgMar w:left="320" w:top="1143"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Amendment No. 1 to the</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CAMP4 Therapeutics Corporation 2024 Equity Incentive Plan</w:t>
      </w:r>
    </w:p>
    <w:p>
      <w:pPr>
        <w:spacing w:after="0" w:line="219" w:lineRule="exact"/>
        <w:rPr>
          <w:sz w:val="20"/>
          <w:szCs w:val="20"/>
          <w:color w:val="auto"/>
        </w:rPr>
      </w:pPr>
    </w:p>
    <w:p>
      <w:pPr>
        <w:ind w:right="720"/>
        <w:spacing w:after="0" w:line="287" w:lineRule="auto"/>
        <w:rPr>
          <w:sz w:val="20"/>
          <w:szCs w:val="20"/>
          <w:color w:val="auto"/>
        </w:rPr>
      </w:pPr>
      <w:r>
        <w:rPr>
          <w:rFonts w:ascii="Times New Roman" w:cs="Times New Roman" w:eastAsia="Times New Roman" w:hAnsi="Times New Roman"/>
          <w:sz w:val="22"/>
          <w:szCs w:val="22"/>
          <w:color w:val="auto"/>
        </w:rPr>
        <w:t>In accordance with Section 9 of the CAMP4 Therapeutics Corporation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2024 Equity Incentive Plan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the Plan is hereby amended as follows, subject to approval of the Company’s stockholders:</w:t>
      </w:r>
    </w:p>
    <w:p>
      <w:pPr>
        <w:spacing w:after="0" w:line="182"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second sentence of Section 4(a) of the Plan is hereby deleted and replaced as follows:</w:t>
      </w:r>
    </w:p>
    <w:p>
      <w:pPr>
        <w:spacing w:after="0" w:line="165" w:lineRule="exact"/>
        <w:rPr>
          <w:rFonts w:ascii="Times New Roman" w:cs="Times New Roman" w:eastAsia="Times New Roman" w:hAnsi="Times New Roman"/>
          <w:sz w:val="22"/>
          <w:szCs w:val="22"/>
          <w:color w:val="auto"/>
        </w:rPr>
      </w:pPr>
    </w:p>
    <w:p>
      <w:pPr>
        <w:ind w:left="660" w:right="120"/>
        <w:spacing w:after="0" w:line="252"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Share Pool will automatically increase on January 1 of each year during the term of the Plan, beginning in 2025, by the lesser of (i) five percent (5%) of the Outstanding Shares as of the close of business on the immediately preceding December 31, and (ii) the number of shares of Stock determined by the Board on or prior to such date for such year (the Initial Share Pool, as it may be so increased, the “</w:t>
      </w:r>
      <w:r>
        <w:rPr>
          <w:rFonts w:ascii="Times New Roman" w:cs="Times New Roman" w:eastAsia="Times New Roman" w:hAnsi="Times New Roman"/>
          <w:sz w:val="22"/>
          <w:szCs w:val="22"/>
          <w:u w:val="single" w:color="auto"/>
          <w:color w:val="auto"/>
        </w:rPr>
        <w:t>Share Pool</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of the Plan is hereby amended to include the following as a new defined term:</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Outstanding Shares</w:t>
      </w:r>
      <w:r>
        <w:rPr>
          <w:rFonts w:ascii="Times New Roman" w:cs="Times New Roman" w:eastAsia="Times New Roman" w:hAnsi="Times New Roman"/>
          <w:sz w:val="22"/>
          <w:szCs w:val="22"/>
          <w:color w:val="auto"/>
        </w:rPr>
        <w:t>”: As of a specified date, the sum of (a) the number of shares of Stock issued and outstanding, and</w:t>
      </w:r>
    </w:p>
    <w:p>
      <w:pPr>
        <w:spacing w:after="0" w:line="31" w:lineRule="exact"/>
        <w:rPr>
          <w:sz w:val="20"/>
          <w:szCs w:val="20"/>
          <w:color w:val="auto"/>
        </w:rPr>
      </w:pPr>
    </w:p>
    <w:p>
      <w:pPr>
        <w:ind w:left="660" w:right="480" w:hanging="4"/>
        <w:spacing w:after="0" w:line="309" w:lineRule="auto"/>
        <w:tabs>
          <w:tab w:leader="none" w:pos="9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of Stock issuable pursuant to the exercise of any outstanding pre-funded warrants to acquire Stock for a nominal exercise price.</w:t>
      </w:r>
    </w:p>
    <w:p>
      <w:pPr>
        <w:spacing w:after="0" w:line="6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2"/>
          <w:szCs w:val="22"/>
          <w:color w:val="auto"/>
        </w:rPr>
        <w:t>This Amendment No. 1 to the Plan (this “</w:t>
      </w: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constitutes an integral part of the Plan. For all purposes of this Amendment, capitalized terms used herein without definition shall have the meanings specified in the Plan, as the Plan shall be in effect on the date hereof after giving effect to the Amendment.</w:t>
      </w:r>
    </w:p>
    <w:p>
      <w:pPr>
        <w:spacing w:after="0" w:line="211" w:lineRule="exact"/>
        <w:rPr>
          <w:sz w:val="20"/>
          <w:szCs w:val="20"/>
          <w:color w:val="auto"/>
        </w:rPr>
      </w:pPr>
    </w:p>
    <w:p>
      <w:pPr>
        <w:ind w:right="300"/>
        <w:spacing w:after="0" w:line="271" w:lineRule="auto"/>
        <w:rPr>
          <w:sz w:val="20"/>
          <w:szCs w:val="20"/>
          <w:color w:val="auto"/>
        </w:rPr>
      </w:pPr>
      <w:r>
        <w:rPr>
          <w:rFonts w:ascii="Times New Roman" w:cs="Times New Roman" w:eastAsia="Times New Roman" w:hAnsi="Times New Roman"/>
          <w:sz w:val="22"/>
          <w:szCs w:val="22"/>
          <w:color w:val="auto"/>
        </w:rPr>
        <w:t>Except as set forth herein, all of the terms and conditions of the Plan, as in effect prior to the effectiveness of this Amendment, shall continue to remain in full force and effect as originally stated therein.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BY BOARD OF DIRECTORS: March 18, 2026</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ADOPTED BY STOCKHOLDERS: June 10, 2026</w:t>
      </w:r>
    </w:p>
    <w:p>
      <w:pPr>
        <w:sectPr>
          <w:pgSz w:w="11900" w:h="16838" w:orient="portrait"/>
          <w:cols w:equalWidth="0" w:num="1">
            <w:col w:w="11240"/>
          </w:cols>
          <w:pgMar w:left="320" w:top="12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CAMP4 THERAPEUTICS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INDUCEMENT PLAN</w:t>
      </w:r>
    </w:p>
    <w:p>
      <w:pPr>
        <w:spacing w:after="0" w:line="16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DEFINED TERMS</w:t>
      </w:r>
    </w:p>
    <w:p>
      <w:pPr>
        <w:spacing w:after="0" w:line="21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is incorporated by reference, defines certain terms used in the Plan and includes certain operational rules related to those terms.</w:t>
      </w:r>
    </w:p>
    <w:p>
      <w:pPr>
        <w:spacing w:after="0" w:line="113"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Plan has been established to allow the Company to provide an inducement to secure and retain the services of Eligible Individuals (as defined in Section 5) by providing for the grant of Awards to such Eligible Individuals. This Plan is intended to meet the requirements of a plan providing for inducement grants under Rule 5635(c)(4) of the Nasdaq Listing Rules and shall be administered in accordance with such intent.</w:t>
      </w:r>
    </w:p>
    <w:p>
      <w:pPr>
        <w:spacing w:after="0" w:line="16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w:t>
      </w:r>
    </w:p>
    <w:p>
      <w:pPr>
        <w:spacing w:after="0" w:line="21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Plan will be administered by the Administrator. The Administrator has discretionary authority, subject only to the express provisions of the Plan, to administer and interpret the Plan and any Awards; to determine the Eligible Individuals to whom to grant Awards; to determine the exercise price, base value from which appreciation is measured, or purchase price, if any, applicable to any Award, to determine, modify, accelerate or waive the terms and conditions of any Award; to determine the form of settlement of Awards (whether in cash, shares of Stock, other Awards or other property);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 Notwithstanding the foregoing or anything in the Plan to the contrary, the grant of Awards must be approved by the Compensation Committee or a majority of the Company’s independent directors (as defined in Rule 5605(a)(2) of the Nasdaq Listing Rules) in order to comply with the exemption from the stockholder approval requirement for “inducement grants” provided under Rule 5635(c)(4) of the Nasdaq Listing Rules.</w:t>
      </w:r>
    </w:p>
    <w:p>
      <w:pPr>
        <w:spacing w:after="0" w:line="170"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LIMITS ON AWARDS UNDER THE PLAN</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2" w:lineRule="auto"/>
        <w:tabs>
          <w:tab w:leader="none" w:pos="1291" w:val="left"/>
        </w:tabs>
        <w:numPr>
          <w:ilvl w:val="1"/>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Number of Shares</w:t>
      </w:r>
      <w:r>
        <w:rPr>
          <w:rFonts w:ascii="Times New Roman" w:cs="Times New Roman" w:eastAsia="Times New Roman" w:hAnsi="Times New Roman"/>
          <w:sz w:val="22"/>
          <w:szCs w:val="22"/>
          <w:color w:val="auto"/>
        </w:rPr>
        <w:t>. Subject to adjustment as provided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7(b)</w:t>
      </w:r>
      <w:r>
        <w:rPr>
          <w:rFonts w:ascii="Times New Roman" w:cs="Times New Roman" w:eastAsia="Times New Roman" w:hAnsi="Times New Roman"/>
          <w:sz w:val="22"/>
          <w:szCs w:val="22"/>
          <w:color w:val="auto"/>
        </w:rPr>
        <w:t>, the maximum number of shares of Stock</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may be delivered in satisfaction of Awards under the Plan is 500,000 shares (the “</w:t>
      </w:r>
      <w:r>
        <w:rPr>
          <w:rFonts w:ascii="Times New Roman" w:cs="Times New Roman" w:eastAsia="Times New Roman" w:hAnsi="Times New Roman"/>
          <w:sz w:val="22"/>
          <w:szCs w:val="22"/>
          <w:u w:val="single" w:color="auto"/>
          <w:color w:val="auto"/>
        </w:rPr>
        <w:t>Share Pool</w:t>
      </w:r>
      <w:r>
        <w:rPr>
          <w:rFonts w:ascii="Times New Roman" w:cs="Times New Roman" w:eastAsia="Times New Roman" w:hAnsi="Times New Roman"/>
          <w:sz w:val="22"/>
          <w:szCs w:val="22"/>
          <w:color w:val="auto"/>
        </w:rPr>
        <w:t xml:space="preserve">”). For purposes of this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shares of Stock shall not be treated as delivered under the Plan, and will not reduce the Share Pool, unless and until, and to the extent, they are actually delivered to a Participant. Without limiting the generality of the foregoing, the number of shares of Stock delivered in satisfaction of Awards will be determined (i) by excluding shares of Stock withheld by the Company in payment of the exercise price or purchase price of the Award or in satisfaction of tax withholding requirements with respect to the Award; (ii) by including only the number of shares of Stock delivered in settlement of a SAR any portion of which is settled in Stock; and (iii) by excluding any shares of Stock underlying Awards settled in cash or that expire, become unexercisable, terminate or are forfeited to or repurchased by the Company without the delivery of Stock.</w:t>
      </w:r>
    </w:p>
    <w:p>
      <w:pPr>
        <w:sectPr>
          <w:pgSz w:w="11900" w:h="16838" w:orient="portrait"/>
          <w:cols w:equalWidth="0" w:num="1">
            <w:col w:w="11240"/>
          </w:cols>
          <w:pgMar w:left="320" w:top="122" w:right="339" w:bottom="1440" w:gutter="0" w:footer="0" w:header="0"/>
        </w:sectPr>
      </w:pPr>
    </w:p>
    <w:bookmarkStart w:id="6" w:name="page7"/>
    <w:bookmarkEnd w:id="6"/>
    <w:p>
      <w:pPr>
        <w:jc w:val="both"/>
        <w:ind w:right="20" w:firstLine="656"/>
        <w:spacing w:after="0" w:line="227" w:lineRule="auto"/>
        <w:tabs>
          <w:tab w:leader="none" w:pos="1290"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Type of Shares</w:t>
      </w:r>
      <w:r>
        <w:rPr>
          <w:rFonts w:ascii="Times New Roman" w:cs="Times New Roman" w:eastAsia="Times New Roman" w:hAnsi="Times New Roman"/>
          <w:sz w:val="22"/>
          <w:szCs w:val="22"/>
          <w:color w:val="auto"/>
        </w:rPr>
        <w:t>. Stock delivered by the Company under the Plan may be authorized but unissued Stock, treasury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or previously issued Stock acquired by the Company. No fractional shares of Stock will be delivered under the Plan, unless otherwise determined by the Administrator.</w:t>
      </w:r>
    </w:p>
    <w:p>
      <w:pPr>
        <w:spacing w:after="0" w:line="146"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1"/>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Mergers and Acquisitions.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may be issued in connection with Awards granted in respect of converted,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replaced or adjusted awards in connection with a merger or acquisition as permitted by Nasdaq Listing Rule 5635(c) or other applicable rule, and any such issuance will not reduce the Share Pool.</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 AND PARTICIPATION</w:t>
      </w:r>
    </w:p>
    <w:p>
      <w:pPr>
        <w:spacing w:after="0" w:line="21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Awards may only be granted under the Plan to an individual not previously an employee or director of the Company or any Subsidiary, or to an individual following a bona fide period of non-employment with the Company or a Subsidiary, as an inducement material to the individual’s entering into employment with the Company or Subsidiary within the meaning of Rule 5635(c)(4) of the Nasdaq Listing Rules (each such individual, an “Eligible Individual”). In addition, eligibility for Stock Options and SARs is limited to Eligible Individuals who are providing direct services on the date of grant of the Award to the Company or any Subsidiary that would be described in the first sentence of Section 1.409A-1(b)(5)(iii)(E) of the Treasury Regulations.</w:t>
      </w:r>
    </w:p>
    <w:p>
      <w:pPr>
        <w:spacing w:after="0" w:line="138"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RULES APPLICABLE TO AWARDS</w:t>
      </w:r>
    </w:p>
    <w:p>
      <w:pPr>
        <w:spacing w:after="0" w:line="179"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All Awards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9"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Award Provisions</w:t>
      </w:r>
      <w:r>
        <w:rPr>
          <w:rFonts w:ascii="Times New Roman" w:cs="Times New Roman" w:eastAsia="Times New Roman" w:hAnsi="Times New Roman"/>
          <w:sz w:val="22"/>
          <w:szCs w:val="22"/>
          <w:color w:val="auto"/>
        </w:rPr>
        <w:t>. The Administrator will determine the terms and conditions of all Awards,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limitations provided herein. By accepting (or, under such rules as the Administrator may prescribe, being deemed to have accepted) an Award, the Participant will be deemed to have agreed to the terms and conditions of the Award and the Plan.</w:t>
      </w:r>
    </w:p>
    <w:p>
      <w:pPr>
        <w:spacing w:after="0" w:line="146"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 of Plan</w:t>
      </w:r>
      <w:r>
        <w:rPr>
          <w:rFonts w:ascii="Times New Roman" w:cs="Times New Roman" w:eastAsia="Times New Roman" w:hAnsi="Times New Roman"/>
          <w:sz w:val="22"/>
          <w:szCs w:val="22"/>
          <w:color w:val="auto"/>
        </w:rPr>
        <w:t>. No Awards may be made after ten (10) years from the Date of Adoption, but previously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Awards may continue beyond that date in accordance with their terms.</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16" w:lineRule="auto"/>
        <w:tabs>
          <w:tab w:leader="none" w:pos="1939"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Transferability</w:t>
      </w:r>
      <w:r>
        <w:rPr>
          <w:rFonts w:ascii="Times New Roman" w:cs="Times New Roman" w:eastAsia="Times New Roman" w:hAnsi="Times New Roman"/>
          <w:sz w:val="22"/>
          <w:szCs w:val="22"/>
          <w:color w:val="auto"/>
        </w:rPr>
        <w:t>. Except as the Administrator otherwise expressly provides in accordance with the third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sentence of this </w:t>
      </w:r>
      <w:r>
        <w:rPr>
          <w:rFonts w:ascii="Times New Roman" w:cs="Times New Roman" w:eastAsia="Times New Roman" w:hAnsi="Times New Roman"/>
          <w:sz w:val="22"/>
          <w:szCs w:val="22"/>
          <w:u w:val="single" w:color="auto"/>
          <w:color w:val="auto"/>
        </w:rPr>
        <w:t>Section 6(a)(3)</w:t>
      </w:r>
      <w:r>
        <w:rPr>
          <w:rFonts w:ascii="Times New Roman" w:cs="Times New Roman" w:eastAsia="Times New Roman" w:hAnsi="Times New Roman"/>
          <w:sz w:val="22"/>
          <w:szCs w:val="22"/>
          <w:color w:val="auto"/>
        </w:rPr>
        <w:t xml:space="preserve">, Awards may not be transferred other than by will or by the laws of descent and distribution. During a Participant’s lifetime, except as the Administrator otherwise expressly provides in accordance with the third sentence of this </w:t>
      </w:r>
      <w:r>
        <w:rPr>
          <w:rFonts w:ascii="Times New Roman" w:cs="Times New Roman" w:eastAsia="Times New Roman" w:hAnsi="Times New Roman"/>
          <w:sz w:val="22"/>
          <w:szCs w:val="22"/>
          <w:u w:val="single" w:color="auto"/>
          <w:color w:val="auto"/>
        </w:rPr>
        <w:t>Section 6(a)(3)</w:t>
      </w:r>
      <w:r>
        <w:rPr>
          <w:rFonts w:ascii="Times New Roman" w:cs="Times New Roman" w:eastAsia="Times New Roman" w:hAnsi="Times New Roman"/>
          <w:sz w:val="22"/>
          <w:szCs w:val="22"/>
          <w:color w:val="auto"/>
        </w:rPr>
        <w:t>, SARs and Stock Options may be exercised only by the Participant. The Administrator may permit the gratuitous transfer (i.e., transfer not for value) of Awards, subject to applicable securities and other laws and such terms and conditions as the Administrator may determine.</w:t>
      </w:r>
    </w:p>
    <w:p>
      <w:pPr>
        <w:spacing w:after="0" w:line="145"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9" w:val="left"/>
        </w:tabs>
        <w:numPr>
          <w:ilvl w:val="2"/>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Vesting; Exercisability</w:t>
      </w:r>
      <w:r>
        <w:rPr>
          <w:rFonts w:ascii="Times New Roman" w:cs="Times New Roman" w:eastAsia="Times New Roman" w:hAnsi="Times New Roman"/>
          <w:sz w:val="22"/>
          <w:szCs w:val="22"/>
          <w:color w:val="auto"/>
        </w:rPr>
        <w:t>. The Administrator will determine the time or times at which an Award vests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becomes exercisable and the terms and conditions on which a Stock Option or SAR remains exercisable. Without limiting the foregoing,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7" w:name="page8"/>
    <w:bookmarkEnd w:id="7"/>
    <w:p>
      <w:pPr>
        <w:jc w:val="both"/>
        <w:ind w:left="660" w:firstLine="1292"/>
        <w:spacing w:after="0" w:line="220" w:lineRule="auto"/>
        <w:tabs>
          <w:tab w:leader="none" w:pos="2593"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spacing w:after="0" w:line="152" w:lineRule="exact"/>
        <w:rPr>
          <w:rFonts w:ascii="Times New Roman" w:cs="Times New Roman" w:eastAsia="Times New Roman" w:hAnsi="Times New Roman"/>
          <w:sz w:val="22"/>
          <w:szCs w:val="22"/>
          <w:b w:val="1"/>
          <w:bCs w:val="1"/>
          <w:color w:val="auto"/>
        </w:rPr>
      </w:pPr>
    </w:p>
    <w:p>
      <w:pPr>
        <w:jc w:val="both"/>
        <w:ind w:left="660" w:firstLine="1292"/>
        <w:spacing w:after="0" w:line="217" w:lineRule="auto"/>
        <w:tabs>
          <w:tab w:leader="none" w:pos="2595"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(C) and (D) below, each Stock Option and SAR (or portion thereof) held by the Participant or the Participant’s permitted transferees, if any, immediately prior to the cessation of the Participant’s Employment, to the extent then vested and exercisable, will remain exercisable for the lesser of (i) a period of three (3) months following such cessation of Employment or (ii) the period ending on the latest date on which such Stock Option or SAR could have been exercised without regard to this </w:t>
      </w:r>
      <w:r>
        <w:rPr>
          <w:rFonts w:ascii="Times New Roman" w:cs="Times New Roman" w:eastAsia="Times New Roman" w:hAnsi="Times New Roman"/>
          <w:sz w:val="22"/>
          <w:szCs w:val="22"/>
          <w:u w:val="single" w:color="auto"/>
          <w:color w:val="auto"/>
        </w:rPr>
        <w:t>Section 6(a)(4)</w:t>
      </w:r>
      <w:r>
        <w:rPr>
          <w:rFonts w:ascii="Times New Roman" w:cs="Times New Roman" w:eastAsia="Times New Roman" w:hAnsi="Times New Roman"/>
          <w:sz w:val="22"/>
          <w:szCs w:val="22"/>
          <w:color w:val="auto"/>
        </w:rPr>
        <w:t>, and will thereupon immediately terminate.</w:t>
      </w:r>
    </w:p>
    <w:p>
      <w:pPr>
        <w:spacing w:after="0" w:line="152" w:lineRule="exact"/>
        <w:rPr>
          <w:rFonts w:ascii="Times New Roman" w:cs="Times New Roman" w:eastAsia="Times New Roman" w:hAnsi="Times New Roman"/>
          <w:sz w:val="22"/>
          <w:szCs w:val="22"/>
          <w:b w:val="1"/>
          <w:bCs w:val="1"/>
          <w:color w:val="auto"/>
        </w:rPr>
      </w:pPr>
    </w:p>
    <w:p>
      <w:pPr>
        <w:jc w:val="both"/>
        <w:ind w:left="660" w:firstLine="1292"/>
        <w:spacing w:after="0" w:line="215" w:lineRule="auto"/>
        <w:tabs>
          <w:tab w:leader="none" w:pos="2593"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Subject to (D) below, each Stock Option and SAR (or portion thereof) held by a Participant or the Participant’s permitted transferees, if any, immediately prior to the cessation of the Participant’s Employment due to his or her death or by the Company due to his or her Disability, to the extent then vested and exercisable, will remain exercisable for the lesser of (i) the one- (1) year period ending on the first anniversary of such cessation of Employment or (ii) the period ending on the latest date on which such Stock Option or SAR could have been exercised without regard to this </w:t>
      </w:r>
      <w:r>
        <w:rPr>
          <w:rFonts w:ascii="Times New Roman" w:cs="Times New Roman" w:eastAsia="Times New Roman" w:hAnsi="Times New Roman"/>
          <w:sz w:val="22"/>
          <w:szCs w:val="22"/>
          <w:u w:val="single" w:color="auto"/>
          <w:color w:val="auto"/>
        </w:rPr>
        <w:t>Section 6(a)(4)</w:t>
      </w:r>
      <w:r>
        <w:rPr>
          <w:rFonts w:ascii="Times New Roman" w:cs="Times New Roman" w:eastAsia="Times New Roman" w:hAnsi="Times New Roman"/>
          <w:sz w:val="22"/>
          <w:szCs w:val="22"/>
          <w:color w:val="auto"/>
        </w:rPr>
        <w:t>, and will thereupon immediately terminate.</w:t>
      </w:r>
    </w:p>
    <w:p>
      <w:pPr>
        <w:spacing w:after="0" w:line="152" w:lineRule="exact"/>
        <w:rPr>
          <w:rFonts w:ascii="Times New Roman" w:cs="Times New Roman" w:eastAsia="Times New Roman" w:hAnsi="Times New Roman"/>
          <w:sz w:val="22"/>
          <w:szCs w:val="22"/>
          <w:b w:val="1"/>
          <w:bCs w:val="1"/>
          <w:color w:val="auto"/>
        </w:rPr>
      </w:pPr>
    </w:p>
    <w:p>
      <w:pPr>
        <w:jc w:val="both"/>
        <w:ind w:left="660" w:firstLine="1292"/>
        <w:spacing w:after="0" w:line="217" w:lineRule="auto"/>
        <w:tabs>
          <w:tab w:leader="none" w:pos="2593" w:val="left"/>
        </w:tabs>
        <w:numPr>
          <w:ilvl w:val="1"/>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08" w:lineRule="auto"/>
        <w:tabs>
          <w:tab w:leader="none" w:pos="1939"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Recovery of Compensation</w:t>
      </w:r>
      <w:r>
        <w:rPr>
          <w:rFonts w:ascii="Times New Roman" w:cs="Times New Roman" w:eastAsia="Times New Roman" w:hAnsi="Times New Roman"/>
          <w:sz w:val="22"/>
          <w:szCs w:val="22"/>
          <w:color w:val="auto"/>
        </w:rPr>
        <w:t>. The Administrator may provide in any case that any outstanding Award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(whether or not vested or 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Each Award will be subject to any policy of the Company or any of its subsidiaries that relates to trading on non-public information and permitted transactions with respect to shares of Stock, including limitations on hedging and pledging. In addition, each Award will be subject (i) to recoupment to the extent a Participant is or becomes subject to the Company’s Policy for Recoupment of Incentive Compensation, as the same may be amended and in effect from time to time (the “Clawback Policy”), and (ii) to any other policy of the Company or any of its Affiliates that provides for forfeiture, disgorgement, or clawback with respect to incentive compensation that includes Awards under the Plan. Each Participant, by accepting or being deemed to have accepted an Award under the Plan, agrees (or will be deemed to have agreed) to the terms of this </w:t>
      </w:r>
      <w:r>
        <w:rPr>
          <w:rFonts w:ascii="Times New Roman" w:cs="Times New Roman" w:eastAsia="Times New Roman" w:hAnsi="Times New Roman"/>
          <w:sz w:val="22"/>
          <w:szCs w:val="22"/>
          <w:u w:val="single" w:color="auto"/>
          <w:color w:val="auto"/>
        </w:rPr>
        <w:t>Section 6(a)(5), the Clawback Policy</w:t>
      </w:r>
      <w:r>
        <w:rPr>
          <w:rFonts w:ascii="Times New Roman" w:cs="Times New Roman" w:eastAsia="Times New Roman" w:hAnsi="Times New Roman"/>
          <w:sz w:val="22"/>
          <w:szCs w:val="22"/>
          <w:color w:val="auto"/>
        </w:rPr>
        <w:t xml:space="preserve"> and any other clawback, recoupment or similar policy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w:t>
      </w:r>
      <w:r>
        <w:rPr>
          <w:rFonts w:ascii="Times New Roman" w:cs="Times New Roman" w:eastAsia="Times New Roman" w:hAnsi="Times New Roman"/>
          <w:sz w:val="22"/>
          <w:szCs w:val="22"/>
          <w:u w:val="single" w:color="auto"/>
          <w:color w:val="auto"/>
        </w:rPr>
        <w:t>Section 6(a)(5)</w:t>
      </w:r>
      <w:r>
        <w:rPr>
          <w:rFonts w:ascii="Times New Roman" w:cs="Times New Roman" w:eastAsia="Times New Roman" w:hAnsi="Times New Roman"/>
          <w:sz w:val="22"/>
          <w:szCs w:val="22"/>
          <w:color w:val="auto"/>
        </w:rPr>
        <w:t>. Neither the Administrator nor the Company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5" w:right="339" w:bottom="1440" w:gutter="0" w:footer="0" w:header="0"/>
        </w:sectPr>
      </w:pPr>
    </w:p>
    <w:bookmarkStart w:id="8" w:name="page9"/>
    <w:bookmarkEnd w:id="8"/>
    <w:p>
      <w:pPr>
        <w:jc w:val="both"/>
        <w:spacing w:after="0" w:line="226" w:lineRule="auto"/>
        <w:rPr>
          <w:sz w:val="20"/>
          <w:szCs w:val="20"/>
          <w:color w:val="auto"/>
        </w:rPr>
      </w:pPr>
      <w:r>
        <w:rPr>
          <w:rFonts w:ascii="Times New Roman" w:cs="Times New Roman" w:eastAsia="Times New Roman" w:hAnsi="Times New Roman"/>
          <w:sz w:val="21"/>
          <w:szCs w:val="21"/>
          <w:color w:val="auto"/>
        </w:rPr>
        <w:t xml:space="preserve">any other person, other than the Participant and his or her permitted transferees, if any, will be responsible for any adverse tax or other consequences to a Participant or his or her permitted transferees, if any, that may arise in connection with this </w:t>
      </w:r>
      <w:r>
        <w:rPr>
          <w:rFonts w:ascii="Times New Roman" w:cs="Times New Roman" w:eastAsia="Times New Roman" w:hAnsi="Times New Roman"/>
          <w:sz w:val="21"/>
          <w:szCs w:val="21"/>
          <w:u w:val="single" w:color="auto"/>
          <w:color w:val="auto"/>
        </w:rPr>
        <w:t>Section 6(a)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(5)</w:t>
      </w:r>
      <w:r>
        <w:rPr>
          <w:rFonts w:ascii="Times New Roman" w:cs="Times New Roman" w:eastAsia="Times New Roman" w:hAnsi="Times New Roman"/>
          <w:sz w:val="22"/>
          <w:szCs w:val="22"/>
          <w:color w:val="auto"/>
        </w:rPr>
        <w:t>.</w:t>
      </w:r>
    </w:p>
    <w:p>
      <w:pPr>
        <w:spacing w:after="0" w:line="151" w:lineRule="exact"/>
        <w:rPr>
          <w:sz w:val="20"/>
          <w:szCs w:val="20"/>
          <w:color w:val="auto"/>
        </w:rPr>
      </w:pPr>
    </w:p>
    <w:p>
      <w:pPr>
        <w:jc w:val="both"/>
        <w:ind w:firstLine="1304"/>
        <w:spacing w:after="0" w:line="209" w:lineRule="auto"/>
        <w:tabs>
          <w:tab w:leader="none" w:pos="1939"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The grant of an Award and the issuance, delivery, vesting and retention of Stock, cash or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property under an Award are conditioned upon the full satisfaction by the Participant of all tax and other withholding requirements with respect to the Award. The Administrator will prescribe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a parent or subsidiary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of Stock from an Award or permit a Participant to tender previously-owned shares of Stock in satisfaction of tax or other withholding requirements (but not in excess of the maximum withholding amount consistent with the Award being subject to equity accounting treatment under the Accounting Rules). Any amounts withheld pursuant to this </w:t>
      </w:r>
      <w:r>
        <w:rPr>
          <w:rFonts w:ascii="Times New Roman" w:cs="Times New Roman" w:eastAsia="Times New Roman" w:hAnsi="Times New Roman"/>
          <w:sz w:val="22"/>
          <w:szCs w:val="22"/>
          <w:u w:val="single" w:color="auto"/>
          <w:color w:val="auto"/>
        </w:rPr>
        <w:t>Section 6(a)(6)</w:t>
      </w:r>
      <w:r>
        <w:rPr>
          <w:rFonts w:ascii="Times New Roman" w:cs="Times New Roman" w:eastAsia="Times New Roman" w:hAnsi="Times New Roman"/>
          <w:sz w:val="22"/>
          <w:szCs w:val="22"/>
          <w:color w:val="auto"/>
        </w:rPr>
        <w:t xml:space="preserve"> will be treated as though such payment had been made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47" w:lineRule="exact"/>
        <w:rPr>
          <w:rFonts w:ascii="Times New Roman" w:cs="Times New Roman" w:eastAsia="Times New Roman" w:hAnsi="Times New Roman"/>
          <w:sz w:val="22"/>
          <w:szCs w:val="22"/>
          <w:b w:val="1"/>
          <w:bCs w:val="1"/>
          <w:color w:val="auto"/>
        </w:rPr>
      </w:pPr>
    </w:p>
    <w:p>
      <w:pPr>
        <w:jc w:val="both"/>
        <w:ind w:firstLine="1304"/>
        <w:spacing w:after="0" w:line="212" w:lineRule="auto"/>
        <w:tabs>
          <w:tab w:leader="none" w:pos="1939"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Dividend Equivalents</w:t>
      </w:r>
      <w:r>
        <w:rPr>
          <w:rFonts w:ascii="Times New Roman" w:cs="Times New Roman" w:eastAsia="Times New Roman" w:hAnsi="Times New Roman"/>
          <w:sz w:val="22"/>
          <w:szCs w:val="22"/>
          <w:color w:val="auto"/>
        </w:rPr>
        <w:t>. The Administrator may provide for the payment of amounts (on terms and subject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to such restrictions and conditions established by the Administrator) in lieu of cash dividends or other cash distributions with respect to Stock subject to an Award whether or not the holder of such Award is otherwise entitled to share in the actual dividend or distribution in respect of such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 dividends or dividend equivalents relating to an Award that, at the dividend payment date, remains subject to a risk of forfeiture (whether service-based or performance-based) shall be subject to the same risk of forfeiture as applies to the underlying Award, and (ii) no dividends or dividend equivalents shall be payable with respect to Stock Options or SARs. Any entitlement to dividend equivalents or similar entitlements will be established and administered either consistent with an exemption from, or in compliance with, the applicable requirements of Section 409A.</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8" w:lineRule="auto"/>
        <w:tabs>
          <w:tab w:leader="none" w:pos="1939"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Limited</w:t>
      </w:r>
      <w:r>
        <w:rPr>
          <w:rFonts w:ascii="Times New Roman" w:cs="Times New Roman" w:eastAsia="Times New Roman" w:hAnsi="Times New Roman"/>
          <w:sz w:val="22"/>
          <w:szCs w:val="22"/>
          <w:color w:val="auto"/>
        </w:rPr>
        <w:t>. Nothing in the Plan or any Award will be construed as giving any person the right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granted an Award or to continued employment or service with the Company or any of its subsidiaries, or any rights as a stockholder except as to shares of Stock actually delivered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spacing w:after="0" w:line="147" w:lineRule="exact"/>
        <w:rPr>
          <w:rFonts w:ascii="Times New Roman" w:cs="Times New Roman" w:eastAsia="Times New Roman" w:hAnsi="Times New Roman"/>
          <w:sz w:val="22"/>
          <w:szCs w:val="22"/>
          <w:b w:val="1"/>
          <w:bCs w:val="1"/>
          <w:color w:val="auto"/>
        </w:rPr>
      </w:pPr>
    </w:p>
    <w:p>
      <w:pPr>
        <w:ind w:left="1940" w:hanging="636"/>
        <w:spacing w:after="0"/>
        <w:tabs>
          <w:tab w:leader="none" w:pos="194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409A</w:t>
      </w:r>
    </w:p>
    <w:p>
      <w:pPr>
        <w:spacing w:after="0" w:line="183" w:lineRule="exact"/>
        <w:rPr>
          <w:rFonts w:ascii="Times New Roman" w:cs="Times New Roman" w:eastAsia="Times New Roman" w:hAnsi="Times New Roman"/>
          <w:sz w:val="22"/>
          <w:szCs w:val="22"/>
          <w:b w:val="1"/>
          <w:bCs w:val="1"/>
          <w:color w:val="auto"/>
        </w:rPr>
      </w:pPr>
    </w:p>
    <w:p>
      <w:pPr>
        <w:jc w:val="both"/>
        <w:ind w:left="660" w:firstLine="1292"/>
        <w:spacing w:after="0" w:line="225" w:lineRule="auto"/>
        <w:tabs>
          <w:tab w:leader="none" w:pos="2593" w:val="left"/>
        </w:tabs>
        <w:numPr>
          <w:ilvl w:val="1"/>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11(b)</w:t>
      </w:r>
      <w:r>
        <w:rPr>
          <w:rFonts w:ascii="Times New Roman" w:cs="Times New Roman" w:eastAsia="Times New Roman" w:hAnsi="Times New Roman"/>
          <w:sz w:val="22"/>
          <w:szCs w:val="22"/>
          <w:color w:val="auto"/>
        </w:rPr>
        <w:t xml:space="preserve"> hereof, each Award will contain such terms as the Administrator determines and will be construed and administered such that the Award either qualifies for an exemption from the requirements of Section 409A or satisfies such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5" w:right="339" w:bottom="1440" w:gutter="0" w:footer="0" w:header="0"/>
        </w:sectPr>
      </w:pPr>
    </w:p>
    <w:bookmarkStart w:id="9" w:name="page10"/>
    <w:bookmarkEnd w:id="9"/>
    <w:p>
      <w:pPr>
        <w:jc w:val="both"/>
        <w:ind w:left="660" w:firstLine="1292"/>
        <w:spacing w:after="0" w:line="220" w:lineRule="auto"/>
        <w:tabs>
          <w:tab w:leader="none" w:pos="2595"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desirable to avoid the imposition of an additional tax, interest or penalty under Section 409A.</w:t>
      </w:r>
    </w:p>
    <w:p>
      <w:pPr>
        <w:spacing w:after="0" w:line="152" w:lineRule="exact"/>
        <w:rPr>
          <w:rFonts w:ascii="Times New Roman" w:cs="Times New Roman" w:eastAsia="Times New Roman" w:hAnsi="Times New Roman"/>
          <w:sz w:val="22"/>
          <w:szCs w:val="22"/>
          <w:b w:val="1"/>
          <w:bCs w:val="1"/>
          <w:color w:val="auto"/>
        </w:rPr>
      </w:pPr>
    </w:p>
    <w:p>
      <w:pPr>
        <w:jc w:val="both"/>
        <w:ind w:left="660" w:firstLine="1292"/>
        <w:spacing w:after="0" w:line="211" w:lineRule="auto"/>
        <w:tabs>
          <w:tab w:leader="none" w:pos="2593" w:val="left"/>
        </w:tabs>
        <w:numPr>
          <w:ilvl w:val="1"/>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 (6) month period measured from the date of such “separation from service” and (ii) the date of the Participant’s death (the “</w:t>
      </w:r>
      <w:r>
        <w:rPr>
          <w:rFonts w:ascii="Times New Roman" w:cs="Times New Roman" w:eastAsia="Times New Roman" w:hAnsi="Times New Roman"/>
          <w:sz w:val="22"/>
          <w:szCs w:val="22"/>
          <w:u w:val="single" w:color="auto"/>
          <w:color w:val="auto"/>
        </w:rPr>
        <w:t>Delay Period</w:t>
      </w:r>
      <w:r>
        <w:rPr>
          <w:rFonts w:ascii="Times New Roman" w:cs="Times New Roman" w:eastAsia="Times New Roman" w:hAnsi="Times New Roman"/>
          <w:sz w:val="22"/>
          <w:szCs w:val="22"/>
          <w:color w:val="auto"/>
        </w:rPr>
        <w:t xml:space="preserve">”). Upon the expiration of the Delay Period, all payments delayed pursuant to this </w:t>
      </w:r>
      <w:r>
        <w:rPr>
          <w:rFonts w:ascii="Times New Roman" w:cs="Times New Roman" w:eastAsia="Times New Roman" w:hAnsi="Times New Roman"/>
          <w:sz w:val="22"/>
          <w:szCs w:val="22"/>
          <w:u w:val="single" w:color="auto"/>
          <w:color w:val="auto"/>
        </w:rPr>
        <w:t>Section 6(a)(9)(C)</w:t>
      </w:r>
      <w:r>
        <w:rPr>
          <w:rFonts w:ascii="Times New Roman" w:cs="Times New Roman" w:eastAsia="Times New Roman" w:hAnsi="Times New Roman"/>
          <w:sz w:val="22"/>
          <w:szCs w:val="22"/>
          <w:color w:val="auto"/>
        </w:rPr>
        <w:t xml:space="preserve">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150" w:lineRule="exact"/>
        <w:rPr>
          <w:rFonts w:ascii="Times New Roman" w:cs="Times New Roman" w:eastAsia="Times New Roman" w:hAnsi="Times New Roman"/>
          <w:sz w:val="22"/>
          <w:szCs w:val="22"/>
          <w:b w:val="1"/>
          <w:bCs w:val="1"/>
          <w:color w:val="auto"/>
        </w:rPr>
      </w:pPr>
    </w:p>
    <w:p>
      <w:pPr>
        <w:ind w:left="2580" w:hanging="628"/>
        <w:spacing w:after="0"/>
        <w:tabs>
          <w:tab w:leader="none" w:pos="2580"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For purposes of Section 409A, each payment made under the Plan or any Award will be treated as a</w:t>
      </w:r>
    </w:p>
    <w:p>
      <w:pPr>
        <w:ind w:left="66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2"/>
          <w:szCs w:val="22"/>
          <w:color w:val="auto"/>
        </w:rPr>
        <w:t>separate payment.</w:t>
      </w:r>
    </w:p>
    <w:p>
      <w:pPr>
        <w:spacing w:after="0" w:line="155" w:lineRule="exact"/>
        <w:rPr>
          <w:rFonts w:ascii="Times New Roman" w:cs="Times New Roman" w:eastAsia="Times New Roman" w:hAnsi="Times New Roman"/>
          <w:sz w:val="21"/>
          <w:szCs w:val="21"/>
          <w:b w:val="1"/>
          <w:bCs w:val="1"/>
          <w:color w:val="auto"/>
        </w:rPr>
      </w:pPr>
    </w:p>
    <w:p>
      <w:pPr>
        <w:jc w:val="both"/>
        <w:ind w:left="660" w:firstLine="1292"/>
        <w:spacing w:after="0" w:line="220" w:lineRule="auto"/>
        <w:tabs>
          <w:tab w:leader="none" w:pos="2595" w:val="left"/>
        </w:tabs>
        <w:numPr>
          <w:ilvl w:val="1"/>
          <w:numId w:val="1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With regard to any payment considered to be nonqualified deferred compensation under Section 409A, to the extent applicable, that is payable upon a change in control of the Company or other similar event, to the extent required to avoid the imposition of an additional tax, interest or penalty under Section 409A, no amount will be payable unless such change in control constitutes a “change in control event” within the meaning of Section 1.409A-3(i)</w:t>
      </w:r>
    </w:p>
    <w:p>
      <w:pPr>
        <w:spacing w:after="0" w:line="2" w:lineRule="exact"/>
        <w:rPr>
          <w:rFonts w:ascii="Times New Roman" w:cs="Times New Roman" w:eastAsia="Times New Roman" w:hAnsi="Times New Roman"/>
          <w:sz w:val="21"/>
          <w:szCs w:val="21"/>
          <w:b w:val="1"/>
          <w:bCs w:val="1"/>
          <w:color w:val="auto"/>
        </w:rPr>
      </w:pPr>
    </w:p>
    <w:p>
      <w:pPr>
        <w:ind w:left="960" w:hanging="304"/>
        <w:spacing w:after="0"/>
        <w:tabs>
          <w:tab w:leader="none" w:pos="9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Treasury Regulations.</w:t>
      </w:r>
    </w:p>
    <w:p>
      <w:pPr>
        <w:spacing w:after="0" w:line="151"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Stock Options and SARs</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9"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Time and Manner of Exercise</w:t>
      </w:r>
      <w:r>
        <w:rPr>
          <w:rFonts w:ascii="Times New Roman" w:cs="Times New Roman" w:eastAsia="Times New Roman" w:hAnsi="Times New Roman"/>
          <w:sz w:val="22"/>
          <w:szCs w:val="22"/>
          <w:color w:val="auto"/>
        </w:rPr>
        <w:t>. Unless the Administrator expressly provides otherwise, no Stock Option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SAR will be deemed to have been exercised until the Administrator receives a notice of exercise in a form acceptable to the Administrator that is signed by the appropriate person and accompanied by any payment required under the Award. The Administrator may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39" w:val="left"/>
        </w:tabs>
        <w:numPr>
          <w:ilvl w:val="1"/>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Exercise Price</w:t>
      </w:r>
      <w:r>
        <w:rPr>
          <w:rFonts w:ascii="Times New Roman" w:cs="Times New Roman" w:eastAsia="Times New Roman" w:hAnsi="Times New Roman"/>
          <w:sz w:val="22"/>
          <w:szCs w:val="22"/>
          <w:color w:val="auto"/>
        </w:rPr>
        <w:t>. The exercise price (or the base value from which appreciation is to be measured) per share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each Award requiring exercise must be no less than one hundred percent (100%) of the Fair Market Value of a share of Stock, determined as of the date of grant of the Award, or such higher amount as the Administrator may determine in connection with the grant.</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38" w:lineRule="auto"/>
        <w:tabs>
          <w:tab w:leader="none" w:pos="1939" w:val="left"/>
        </w:tabs>
        <w:numPr>
          <w:ilvl w:val="1"/>
          <w:numId w:val="1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Payment of Exercise Price</w:t>
      </w:r>
      <w:r>
        <w:rPr>
          <w:rFonts w:ascii="Times New Roman" w:cs="Times New Roman" w:eastAsia="Times New Roman" w:hAnsi="Times New Roman"/>
          <w:sz w:val="21"/>
          <w:szCs w:val="21"/>
          <w:color w:val="auto"/>
        </w:rPr>
        <w:t>. Where the exercise of an Award (or portion thereof) is to be accompanied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payment of the exercise price must be made by cash or check acceptable to the Administrator or, if so permitted by the Administrator and if legally permissible, (i) through the delivery of previously acquired unrestricted shares of Stock, 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0" w:name="page11"/>
    <w:bookmarkEnd w:id="10"/>
    <w:p>
      <w:pPr>
        <w:jc w:val="both"/>
        <w:spacing w:after="0" w:line="227" w:lineRule="auto"/>
        <w:rPr>
          <w:sz w:val="20"/>
          <w:szCs w:val="20"/>
          <w:color w:val="auto"/>
        </w:rPr>
      </w:pPr>
      <w:r>
        <w:rPr>
          <w:rFonts w:ascii="Times New Roman" w:cs="Times New Roman" w:eastAsia="Times New Roman" w:hAnsi="Times New Roman"/>
          <w:sz w:val="21"/>
          <w:szCs w:val="21"/>
          <w:color w:val="auto"/>
        </w:rPr>
        <w:t>withholding of unrestricted shares of Stock otherwise deliverable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150" w:lineRule="exact"/>
        <w:rPr>
          <w:sz w:val="20"/>
          <w:szCs w:val="20"/>
          <w:color w:val="auto"/>
        </w:rPr>
      </w:pPr>
    </w:p>
    <w:p>
      <w:pPr>
        <w:ind w:left="1940" w:hanging="636"/>
        <w:spacing w:after="0"/>
        <w:tabs>
          <w:tab w:leader="none" w:pos="1940" w:val="left"/>
        </w:tabs>
        <w:numPr>
          <w:ilvl w:val="0"/>
          <w:numId w:val="2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Maximum Term</w:t>
      </w:r>
      <w:r>
        <w:rPr>
          <w:rFonts w:ascii="Times New Roman" w:cs="Times New Roman" w:eastAsia="Times New Roman" w:hAnsi="Times New Roman"/>
          <w:sz w:val="21"/>
          <w:szCs w:val="21"/>
          <w:color w:val="auto"/>
        </w:rPr>
        <w:t>. The maximum term of Stock Options and SARs must not exceed ten (10) years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of grant.</w:t>
      </w:r>
    </w:p>
    <w:p>
      <w:pPr>
        <w:spacing w:after="0" w:line="151" w:lineRule="exact"/>
        <w:rPr>
          <w:sz w:val="20"/>
          <w:szCs w:val="20"/>
          <w:color w:val="auto"/>
        </w:rPr>
      </w:pPr>
    </w:p>
    <w:p>
      <w:pPr>
        <w:jc w:val="both"/>
        <w:ind w:firstLine="1304"/>
        <w:spacing w:after="0" w:line="223" w:lineRule="auto"/>
        <w:tabs>
          <w:tab w:leader="none" w:pos="1939" w:val="left"/>
        </w:tabs>
        <w:numPr>
          <w:ilvl w:val="2"/>
          <w:numId w:val="2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No Repricing</w:t>
      </w:r>
      <w:r>
        <w:rPr>
          <w:rFonts w:ascii="Times New Roman" w:cs="Times New Roman" w:eastAsia="Times New Roman" w:hAnsi="Times New Roman"/>
          <w:sz w:val="21"/>
          <w:szCs w:val="21"/>
          <w:color w:val="auto"/>
        </w:rPr>
        <w:t>. Except in connection with a corporate transaction involving the Company (which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includes, without limitation, any stock dividend, stock split, extraordinary cash dividend, recapitalization, reorganization, merger, consolidation, split-up, spin-off, combination or exchange of shares) or as otherwise contemplated by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below, the Company may not, without obtaining stockholder approval, (i) amend the terms of outstanding Stock Options or SARs to reduce the exercise price or base value of such Stock Options or SARs; (ii) cancel outstanding Stock Options or SARs in exchange for Stock Options or SARs that have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spacing w:after="0" w:line="148"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 OF CERTAIN TRANSACTIONS</w:t>
      </w:r>
    </w:p>
    <w:p>
      <w:pPr>
        <w:spacing w:after="0" w:line="179" w:lineRule="exact"/>
        <w:rPr>
          <w:rFonts w:ascii="Times New Roman" w:cs="Times New Roman" w:eastAsia="Times New Roman" w:hAnsi="Times New Roman"/>
          <w:sz w:val="22"/>
          <w:szCs w:val="22"/>
          <w:b w:val="1"/>
          <w:bCs w:val="1"/>
          <w:color w:val="auto"/>
        </w:rPr>
      </w:pPr>
    </w:p>
    <w:p>
      <w:pPr>
        <w:ind w:right="20" w:firstLine="656"/>
        <w:spacing w:after="0" w:line="238" w:lineRule="auto"/>
        <w:tabs>
          <w:tab w:leader="none" w:pos="1291" w:val="left"/>
        </w:tabs>
        <w:numPr>
          <w:ilvl w:val="1"/>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Mergers, etc</w:t>
      </w:r>
      <w:r>
        <w:rPr>
          <w:rFonts w:ascii="Times New Roman" w:cs="Times New Roman" w:eastAsia="Times New Roman" w:hAnsi="Times New Roman"/>
          <w:sz w:val="22"/>
          <w:szCs w:val="22"/>
          <w:color w:val="auto"/>
        </w:rPr>
        <w:t>. Except as otherwise expressly provided in an Award agreement or other agreement or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Administrator, the following provisions will apply in the event of a Covered Transaction:</w:t>
      </w:r>
    </w:p>
    <w:p>
      <w:pPr>
        <w:spacing w:after="0" w:line="146" w:lineRule="exact"/>
        <w:rPr>
          <w:rFonts w:ascii="Times New Roman" w:cs="Times New Roman" w:eastAsia="Times New Roman" w:hAnsi="Times New Roman"/>
          <w:sz w:val="22"/>
          <w:szCs w:val="22"/>
          <w:b w:val="1"/>
          <w:bCs w:val="1"/>
          <w:color w:val="auto"/>
        </w:rPr>
      </w:pPr>
    </w:p>
    <w:p>
      <w:pPr>
        <w:jc w:val="both"/>
        <w:ind w:firstLine="1304"/>
        <w:spacing w:after="0" w:line="221" w:lineRule="auto"/>
        <w:tabs>
          <w:tab w:leader="none" w:pos="1939" w:val="left"/>
        </w:tabs>
        <w:numPr>
          <w:ilvl w:val="2"/>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Assumption or Substitution</w:t>
      </w:r>
      <w:r>
        <w:rPr>
          <w:rFonts w:ascii="Times New Roman" w:cs="Times New Roman" w:eastAsia="Times New Roman" w:hAnsi="Times New Roman"/>
          <w:sz w:val="22"/>
          <w:szCs w:val="22"/>
          <w:color w:val="auto"/>
        </w:rPr>
        <w:t>. If the Covered Transaction is one in which there is an acquiring or surviving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entity, the Administrator may provide for (i) the assumption or continuation of some or all outstanding Awards or any portion thereof; or (ii) the grant of new awards in substitution therefor by the acquiror or survivor or an affiliate of the acquiror or survivor.</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0" w:lineRule="auto"/>
        <w:tabs>
          <w:tab w:leader="none" w:pos="1939" w:val="left"/>
        </w:tabs>
        <w:numPr>
          <w:ilvl w:val="2"/>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Cash-Out of Awards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7(a)(5)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Administrator may provide for payment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cash-out</w:t>
      </w:r>
      <w:r>
        <w:rPr>
          <w:rFonts w:ascii="Times New Roman" w:cs="Times New Roman" w:eastAsia="Times New Roman" w:hAnsi="Times New Roman"/>
          <w:sz w:val="22"/>
          <w:szCs w:val="22"/>
          <w:color w:val="auto"/>
        </w:rPr>
        <w:t xml:space="preserve">”), with respect to some or all Awards or any portion thereof (including only the vested portion thereof, with the unvested portion terminating as provided in </w:t>
      </w:r>
      <w:r>
        <w:rPr>
          <w:rFonts w:ascii="Times New Roman" w:cs="Times New Roman" w:eastAsia="Times New Roman" w:hAnsi="Times New Roman"/>
          <w:sz w:val="22"/>
          <w:szCs w:val="22"/>
          <w:u w:val="single" w:color="auto"/>
          <w:color w:val="auto"/>
        </w:rPr>
        <w:t>Section 7(a)(4)</w:t>
      </w:r>
      <w:r>
        <w:rPr>
          <w:rFonts w:ascii="Times New Roman" w:cs="Times New Roman" w:eastAsia="Times New Roman" w:hAnsi="Times New Roman"/>
          <w:sz w:val="22"/>
          <w:szCs w:val="22"/>
          <w:color w:val="auto"/>
        </w:rPr>
        <w:t xml:space="preserve"> below), equal in the case of each applicable Award or portion thereof to the excess, if any, of (i) the Fair Market Value of one (1) share of Stock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number of shares of Stock subject to the Award or such portion, </w:t>
      </w:r>
      <w:r>
        <w:rPr>
          <w:rFonts w:ascii="Times New Roman" w:cs="Times New Roman" w:eastAsia="Times New Roman" w:hAnsi="Times New Roman"/>
          <w:sz w:val="22"/>
          <w:szCs w:val="22"/>
          <w:i w:val="1"/>
          <w:iCs w:val="1"/>
          <w:color w:val="auto"/>
        </w:rPr>
        <w:t>minus</w:t>
      </w:r>
      <w:r>
        <w:rPr>
          <w:rFonts w:ascii="Times New Roman" w:cs="Times New Roman" w:eastAsia="Times New Roman" w:hAnsi="Times New Roman"/>
          <w:sz w:val="22"/>
          <w:szCs w:val="22"/>
          <w:color w:val="auto"/>
        </w:rPr>
        <w:t xml:space="preserve"> (ii) the aggregate exercise or purchase price, if any, of such Award or such portion thereof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For the avoidance of doubt, if the per-share exercise or purchase price (or base value) of an Award or portion thereof is equal to or greater than the Fair Market Value of one (1) share of Stock, such Award or portion may be cancelled with no payment due hereunder or otherwise in respect thereof.</w:t>
      </w:r>
    </w:p>
    <w:p>
      <w:pPr>
        <w:spacing w:after="0" w:line="151"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2"/>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Acceleration of Certain Awards</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7(a)(5)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the Administrator may provide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Award requiring exercise will become exercisable, in full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5" w:right="339" w:bottom="1440" w:gutter="0" w:footer="0" w:header="0"/>
        </w:sectPr>
      </w:pPr>
    </w:p>
    <w:bookmarkStart w:id="11" w:name="page12"/>
    <w:bookmarkEnd w:id="11"/>
    <w:p>
      <w:pPr>
        <w:jc w:val="both"/>
        <w:spacing w:after="0" w:line="217" w:lineRule="auto"/>
        <w:rPr>
          <w:sz w:val="20"/>
          <w:szCs w:val="20"/>
          <w:color w:val="auto"/>
        </w:rPr>
      </w:pPr>
      <w:r>
        <w:rPr>
          <w:rFonts w:ascii="Times New Roman" w:cs="Times New Roman" w:eastAsia="Times New Roman" w:hAnsi="Times New Roman"/>
          <w:sz w:val="22"/>
          <w:szCs w:val="22"/>
          <w:color w:val="auto"/>
        </w:rPr>
        <w:t>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the exercise of the Award or the delivery of the shares, as the case may be, to participate as a stockholder in the Covered Transaction.</w:t>
      </w:r>
    </w:p>
    <w:p>
      <w:pPr>
        <w:spacing w:after="0" w:line="148" w:lineRule="exact"/>
        <w:rPr>
          <w:sz w:val="20"/>
          <w:szCs w:val="20"/>
          <w:color w:val="auto"/>
        </w:rPr>
      </w:pPr>
    </w:p>
    <w:p>
      <w:pPr>
        <w:jc w:val="both"/>
        <w:ind w:firstLine="1304"/>
        <w:spacing w:after="0" w:line="221" w:lineRule="auto"/>
        <w:tabs>
          <w:tab w:leader="none" w:pos="1939" w:val="left"/>
        </w:tabs>
        <w:numPr>
          <w:ilvl w:val="2"/>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Awards upon Consummation of Covered Transaction</w:t>
      </w:r>
      <w:r>
        <w:rPr>
          <w:rFonts w:ascii="Times New Roman" w:cs="Times New Roman" w:eastAsia="Times New Roman" w:hAnsi="Times New Roman"/>
          <w:sz w:val="22"/>
          <w:szCs w:val="22"/>
          <w:color w:val="auto"/>
        </w:rPr>
        <w:t>. Except as the Administrator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may otherwise determine, each Award will automatically terminate immediately upon the consummation of the Covered Transaction, other than (i) any Award that is assumed, continued or substituted for pursuant to </w:t>
      </w:r>
      <w:r>
        <w:rPr>
          <w:rFonts w:ascii="Times New Roman" w:cs="Times New Roman" w:eastAsia="Times New Roman" w:hAnsi="Times New Roman"/>
          <w:sz w:val="22"/>
          <w:szCs w:val="22"/>
          <w:u w:val="single" w:color="auto"/>
          <w:color w:val="auto"/>
        </w:rPr>
        <w:t>Section 7(a)(1)</w:t>
      </w:r>
      <w:r>
        <w:rPr>
          <w:rFonts w:ascii="Times New Roman" w:cs="Times New Roman" w:eastAsia="Times New Roman" w:hAnsi="Times New Roman"/>
          <w:sz w:val="22"/>
          <w:szCs w:val="22"/>
          <w:color w:val="auto"/>
        </w:rPr>
        <w:t xml:space="preserve"> above, and (ii) any Award that by its terms, or as a result of action taken by the Administrator, continues following the Covered Transaction.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14" w:lineRule="auto"/>
        <w:tabs>
          <w:tab w:leader="none" w:pos="1939" w:val="left"/>
        </w:tabs>
        <w:numPr>
          <w:ilvl w:val="2"/>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Limitations. </w:t>
      </w:r>
      <w:r>
        <w:rPr>
          <w:rFonts w:ascii="Times New Roman" w:cs="Times New Roman" w:eastAsia="Times New Roman" w:hAnsi="Times New Roman"/>
          <w:sz w:val="22"/>
          <w:szCs w:val="22"/>
          <w:color w:val="auto"/>
        </w:rPr>
        <w:t>Any share of Stock and any cash or other property or other award delivered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pursuant to </w:t>
      </w:r>
      <w:r>
        <w:rPr>
          <w:rFonts w:ascii="Times New Roman" w:cs="Times New Roman" w:eastAsia="Times New Roman" w:hAnsi="Times New Roman"/>
          <w:sz w:val="22"/>
          <w:szCs w:val="22"/>
          <w:u w:val="single" w:color="auto"/>
          <w:color w:val="auto"/>
        </w:rPr>
        <w:t>Section 7(a)(1)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7(a)(2)</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7(a)(3)</w:t>
      </w:r>
      <w:r>
        <w:rPr>
          <w:rFonts w:ascii="Times New Roman" w:cs="Times New Roman" w:eastAsia="Times New Roman" w:hAnsi="Times New Roman"/>
          <w:sz w:val="22"/>
          <w:szCs w:val="22"/>
          <w:color w:val="auto"/>
        </w:rPr>
        <w:t xml:space="preserve"> above 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w:t>
      </w:r>
      <w:r>
        <w:rPr>
          <w:rFonts w:ascii="Times New Roman" w:cs="Times New Roman" w:eastAsia="Times New Roman" w:hAnsi="Times New Roman"/>
          <w:sz w:val="22"/>
          <w:szCs w:val="22"/>
          <w:u w:val="single" w:color="auto"/>
          <w:color w:val="auto"/>
        </w:rPr>
        <w:t>Section 7(a)(2)</w:t>
      </w:r>
      <w:r>
        <w:rPr>
          <w:rFonts w:ascii="Times New Roman" w:cs="Times New Roman" w:eastAsia="Times New Roman" w:hAnsi="Times New Roman"/>
          <w:sz w:val="22"/>
          <w:szCs w:val="22"/>
          <w:color w:val="auto"/>
        </w:rPr>
        <w:t xml:space="preserve"> above or an acceleration under </w:t>
      </w:r>
      <w:r>
        <w:rPr>
          <w:rFonts w:ascii="Times New Roman" w:cs="Times New Roman" w:eastAsia="Times New Roman" w:hAnsi="Times New Roman"/>
          <w:sz w:val="22"/>
          <w:szCs w:val="22"/>
          <w:u w:val="single" w:color="auto"/>
          <w:color w:val="auto"/>
        </w:rPr>
        <w:t>Section 7(a)(3)</w:t>
      </w:r>
      <w:r>
        <w:rPr>
          <w:rFonts w:ascii="Times New Roman" w:cs="Times New Roman" w:eastAsia="Times New Roman" w:hAnsi="Times New Roman"/>
          <w:sz w:val="22"/>
          <w:szCs w:val="22"/>
          <w:color w:val="auto"/>
        </w:rPr>
        <w:t xml:space="preserve"> above will not, in and of itself, be treated as the lapsing (or satisfaction) of a performance or other vesting condition.</w:t>
      </w:r>
    </w:p>
    <w:p>
      <w:pPr>
        <w:spacing w:after="0" w:line="148" w:lineRule="exact"/>
        <w:rPr>
          <w:rFonts w:ascii="Times New Roman" w:cs="Times New Roman" w:eastAsia="Times New Roman" w:hAnsi="Times New Roman"/>
          <w:sz w:val="22"/>
          <w:szCs w:val="22"/>
          <w:b w:val="1"/>
          <w:bCs w:val="1"/>
          <w:color w:val="auto"/>
        </w:rPr>
      </w:pPr>
    </w:p>
    <w:p>
      <w:pPr>
        <w:jc w:val="both"/>
        <w:ind w:firstLine="1304"/>
        <w:spacing w:after="0" w:line="227" w:lineRule="auto"/>
        <w:tabs>
          <w:tab w:leader="none" w:pos="1939" w:val="left"/>
        </w:tabs>
        <w:numPr>
          <w:ilvl w:val="2"/>
          <w:numId w:val="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Uniform Treatment</w:t>
      </w:r>
      <w:r>
        <w:rPr>
          <w:rFonts w:ascii="Times New Roman" w:cs="Times New Roman" w:eastAsia="Times New Roman" w:hAnsi="Times New Roman"/>
          <w:sz w:val="22"/>
          <w:szCs w:val="22"/>
          <w:color w:val="auto"/>
        </w:rPr>
        <w:t>. For the avoidance of doubt, the Administrator need not treat Participants or Awards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portions thereof) in a uniform manner, and may treat different Participants and/or Awards differently, in connection with a Covered Transaction.</w:t>
      </w:r>
    </w:p>
    <w:p>
      <w:pPr>
        <w:spacing w:after="0" w:line="14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Changes in and Distributions with Respect to Stock</w:t>
      </w:r>
    </w:p>
    <w:p>
      <w:pPr>
        <w:spacing w:after="0" w:line="179" w:lineRule="exact"/>
        <w:rPr>
          <w:rFonts w:ascii="Times New Roman" w:cs="Times New Roman" w:eastAsia="Times New Roman" w:hAnsi="Times New Roman"/>
          <w:sz w:val="22"/>
          <w:szCs w:val="22"/>
          <w:b w:val="1"/>
          <w:bCs w:val="1"/>
          <w:color w:val="auto"/>
        </w:rPr>
      </w:pPr>
    </w:p>
    <w:p>
      <w:pPr>
        <w:jc w:val="both"/>
        <w:ind w:firstLine="1304"/>
        <w:spacing w:after="0" w:line="226" w:lineRule="auto"/>
        <w:tabs>
          <w:tab w:leader="none" w:pos="1939" w:val="left"/>
        </w:tabs>
        <w:numPr>
          <w:ilvl w:val="2"/>
          <w:numId w:val="2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Basic Adjustment Provisions</w:t>
      </w:r>
      <w:r>
        <w:rPr>
          <w:rFonts w:ascii="Times New Roman" w:cs="Times New Roman" w:eastAsia="Times New Roman" w:hAnsi="Times New Roman"/>
          <w:sz w:val="21"/>
          <w:szCs w:val="21"/>
          <w:color w:val="auto"/>
        </w:rPr>
        <w:t>. In the event of a stock dividend, stock split or combination of shares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(including a reverse stock split), recapitalization or other change in the Company’s capital structure that constitutes an equity restructuring within the meaning of the Accounting Rules, the Administrator shall make appropriate adjustments to the maximum number of shares of Stock specified in </w:t>
      </w:r>
      <w:r>
        <w:rPr>
          <w:rFonts w:ascii="Times New Roman" w:cs="Times New Roman" w:eastAsia="Times New Roman" w:hAnsi="Times New Roman"/>
          <w:sz w:val="21"/>
          <w:szCs w:val="21"/>
          <w:u w:val="single" w:color="auto"/>
          <w:color w:val="auto"/>
        </w:rPr>
        <w:t>Section 4(a)</w:t>
      </w:r>
      <w:r>
        <w:rPr>
          <w:rFonts w:ascii="Times New Roman" w:cs="Times New Roman" w:eastAsia="Times New Roman" w:hAnsi="Times New Roman"/>
          <w:sz w:val="21"/>
          <w:szCs w:val="21"/>
          <w:color w:val="auto"/>
        </w:rPr>
        <w:t xml:space="preserve"> that may be delivered under the Plan, and shall make appropriate adjustments to the number and kind of shares of stock or securities underlying Awards then outstanding or subsequently granted, any exercise or purchase prices (or base values) relating to Awards and any other provision of Awards affected by such change.</w:t>
      </w:r>
    </w:p>
    <w:p>
      <w:pPr>
        <w:spacing w:after="0" w:line="147" w:lineRule="exact"/>
        <w:rPr>
          <w:rFonts w:ascii="Times New Roman" w:cs="Times New Roman" w:eastAsia="Times New Roman" w:hAnsi="Times New Roman"/>
          <w:sz w:val="21"/>
          <w:szCs w:val="21"/>
          <w:b w:val="1"/>
          <w:bCs w:val="1"/>
          <w:color w:val="auto"/>
        </w:rPr>
      </w:pPr>
    </w:p>
    <w:p>
      <w:pPr>
        <w:jc w:val="both"/>
        <w:ind w:firstLine="1304"/>
        <w:spacing w:after="0" w:line="221" w:lineRule="auto"/>
        <w:tabs>
          <w:tab w:leader="none" w:pos="1939" w:val="left"/>
        </w:tabs>
        <w:numPr>
          <w:ilvl w:val="2"/>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Certain Other Adjustments</w:t>
      </w:r>
      <w:r>
        <w:rPr>
          <w:rFonts w:ascii="Times New Roman" w:cs="Times New Roman" w:eastAsia="Times New Roman" w:hAnsi="Times New Roman"/>
          <w:sz w:val="22"/>
          <w:szCs w:val="22"/>
          <w:color w:val="auto"/>
        </w:rPr>
        <w:t>. The Administrator may also make adjustments of the type described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7(b)(1)</w:t>
      </w:r>
      <w:r>
        <w:rPr>
          <w:rFonts w:ascii="Times New Roman" w:cs="Times New Roman" w:eastAsia="Times New Roman" w:hAnsi="Times New Roman"/>
          <w:sz w:val="22"/>
          <w:szCs w:val="22"/>
          <w:color w:val="auto"/>
        </w:rPr>
        <w:t xml:space="preserve"> above to take into account distributions to stockholders other than those provided for in </w:t>
      </w:r>
      <w:r>
        <w:rPr>
          <w:rFonts w:ascii="Times New Roman" w:cs="Times New Roman" w:eastAsia="Times New Roman" w:hAnsi="Times New Roman"/>
          <w:sz w:val="22"/>
          <w:szCs w:val="22"/>
          <w:u w:val="single" w:color="auto"/>
          <w:color w:val="auto"/>
        </w:rPr>
        <w:t>Sections 7(a)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7(b)(1)</w:t>
      </w:r>
      <w:r>
        <w:rPr>
          <w:rFonts w:ascii="Times New Roman" w:cs="Times New Roman" w:eastAsia="Times New Roman" w:hAnsi="Times New Roman"/>
          <w:sz w:val="22"/>
          <w:szCs w:val="22"/>
          <w:color w:val="auto"/>
        </w:rPr>
        <w:t>, or any other event, if the Administrator determines that adjustments are appropriate to avoid distortion in the operation of the Plan or any Award.</w:t>
      </w:r>
    </w:p>
    <w:p>
      <w:pPr>
        <w:spacing w:after="0" w:line="148" w:lineRule="exact"/>
        <w:rPr>
          <w:rFonts w:ascii="Times New Roman" w:cs="Times New Roman" w:eastAsia="Times New Roman" w:hAnsi="Times New Roman"/>
          <w:sz w:val="22"/>
          <w:szCs w:val="22"/>
          <w:b w:val="1"/>
          <w:bCs w:val="1"/>
          <w:color w:val="auto"/>
        </w:rPr>
      </w:pPr>
    </w:p>
    <w:p>
      <w:pPr>
        <w:ind w:firstLine="1304"/>
        <w:spacing w:after="0" w:line="238" w:lineRule="auto"/>
        <w:tabs>
          <w:tab w:leader="none" w:pos="1939" w:val="left"/>
        </w:tabs>
        <w:numPr>
          <w:ilvl w:val="2"/>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Continuing Application of Plan Terms</w:t>
      </w:r>
      <w:r>
        <w:rPr>
          <w:rFonts w:ascii="Times New Roman" w:cs="Times New Roman" w:eastAsia="Times New Roman" w:hAnsi="Times New Roman"/>
          <w:sz w:val="22"/>
          <w:szCs w:val="22"/>
          <w:color w:val="auto"/>
        </w:rPr>
        <w:t>. References in the Plan to shares of Stock will be construed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include any stock or securities resulting from an adjustment pursuant to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LEGAL CONDITIONS ON DELIVERY OF STOCK</w:t>
      </w:r>
    </w:p>
    <w:p>
      <w:pPr>
        <w:spacing w:after="0" w:line="210"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will not be obligated to deliver any shares of Stock pursuant to the Plan or to remove any restriction from</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 of Stock previously delivered under the Plan until: (i)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5" w:right="339" w:bottom="1440" w:gutter="0" w:footer="0" w:header="0"/>
        </w:sectPr>
      </w:pPr>
    </w:p>
    <w:bookmarkStart w:id="12" w:name="page13"/>
    <w:bookmarkEnd w:id="12"/>
    <w:p>
      <w:pPr>
        <w:jc w:val="both"/>
        <w:spacing w:after="0" w:line="263" w:lineRule="auto"/>
        <w:rPr>
          <w:sz w:val="20"/>
          <w:szCs w:val="20"/>
          <w:color w:val="auto"/>
        </w:rPr>
      </w:pPr>
      <w:r>
        <w:rPr>
          <w:rFonts w:ascii="Times New Roman" w:cs="Times New Roman" w:eastAsia="Times New Roman" w:hAnsi="Times New Roman"/>
          <w:sz w:val="21"/>
          <w:szCs w:val="21"/>
          <w:color w:val="auto"/>
        </w:rPr>
        <w:t>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w:t>
      </w:r>
    </w:p>
    <w:p>
      <w:pPr>
        <w:spacing w:after="0" w:line="2" w:lineRule="exact"/>
        <w:rPr>
          <w:sz w:val="20"/>
          <w:szCs w:val="20"/>
          <w:color w:val="auto"/>
        </w:rPr>
      </w:pPr>
    </w:p>
    <w:p>
      <w:pPr>
        <w:jc w:val="both"/>
        <w:ind w:firstLine="8"/>
        <w:spacing w:after="0" w:line="247" w:lineRule="auto"/>
        <w:tabs>
          <w:tab w:leader="none" w:pos="39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of 1933, as amended, Nasdaq Listing Rules, or any applicable state or non-U.S. securities law. Any Stock delivered to Participants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15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 AND TERMINATION</w:t>
      </w:r>
    </w:p>
    <w:p>
      <w:pPr>
        <w:spacing w:after="0" w:line="21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except as otherwise expressly provided in the Plan or the applicable Award, the Administrator may not, without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limiting the Administrator’s rights hereunder, no adjustment to any Award pursuant to the terms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will be treated as an amendment requiring a Participant’s consent.</w:t>
      </w:r>
    </w:p>
    <w:p>
      <w:pPr>
        <w:spacing w:after="0" w:line="149"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OTHER COMPENSATION ARRANGEMENTS</w:t>
      </w:r>
    </w:p>
    <w:p>
      <w:pPr>
        <w:spacing w:after="0" w:line="210"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The existence of the Plan or the grant of any Award will not affect the right of the Company or any of its subsidiaries to grant any person bonuses or other compensation in addition to Awards under the Plan.</w:t>
      </w:r>
    </w:p>
    <w:p>
      <w:pPr>
        <w:spacing w:after="0" w:line="127" w:lineRule="exact"/>
        <w:rPr>
          <w:sz w:val="20"/>
          <w:szCs w:val="20"/>
          <w:color w:val="auto"/>
        </w:rPr>
      </w:pPr>
    </w:p>
    <w:p>
      <w:pPr>
        <w:ind w:left="640" w:hanging="632"/>
        <w:spacing w:after="0"/>
        <w:tabs>
          <w:tab w:leader="none" w:pos="64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14" w:lineRule="auto"/>
        <w:tabs>
          <w:tab w:leader="none" w:pos="1291" w:val="left"/>
        </w:tabs>
        <w:numPr>
          <w:ilvl w:val="1"/>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Waiver of Jury Trial</w:t>
      </w:r>
      <w:r>
        <w:rPr>
          <w:rFonts w:ascii="Times New Roman" w:cs="Times New Roman" w:eastAsia="Times New Roman" w:hAnsi="Times New Roman"/>
          <w:sz w:val="22"/>
          <w:szCs w:val="22"/>
          <w:color w:val="auto"/>
        </w:rPr>
        <w:t>. By accepting or being deemed to have accepted an Award under the Plan, each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3" w:name="page14"/>
    <w:bookmarkEnd w:id="13"/>
    <w:p>
      <w:pPr>
        <w:jc w:val="both"/>
        <w:spacing w:after="0" w:line="217" w:lineRule="auto"/>
        <w:rPr>
          <w:sz w:val="20"/>
          <w:szCs w:val="20"/>
          <w:color w:val="auto"/>
        </w:rPr>
      </w:pPr>
      <w:r>
        <w:rPr>
          <w:rFonts w:ascii="Times New Roman" w:cs="Times New Roman" w:eastAsia="Times New Roman" w:hAnsi="Times New Roman"/>
          <w:sz w:val="22"/>
          <w:szCs w:val="22"/>
          <w:color w:val="auto"/>
        </w:rPr>
        <w:t>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48" w:lineRule="exact"/>
        <w:rPr>
          <w:sz w:val="20"/>
          <w:szCs w:val="20"/>
          <w:color w:val="auto"/>
        </w:rPr>
      </w:pPr>
    </w:p>
    <w:p>
      <w:pPr>
        <w:jc w:val="both"/>
        <w:ind w:firstLine="656"/>
        <w:spacing w:after="0" w:line="216" w:lineRule="auto"/>
        <w:tabs>
          <w:tab w:leader="none" w:pos="1290"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Limitation of Liability</w:t>
      </w:r>
      <w:r>
        <w:rPr>
          <w:rFonts w:ascii="Times New Roman" w:cs="Times New Roman" w:eastAsia="Times New Roman" w:hAnsi="Times New Roman"/>
          <w:sz w:val="22"/>
          <w:szCs w:val="22"/>
          <w:color w:val="auto"/>
        </w:rPr>
        <w:t>. Notwithstanding anything to the contrary in the Plan or any Award, neither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nor any of its 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409A or by reason of Section 4999 of the Code, or otherwise asserted with respect to any Award.</w:t>
      </w:r>
    </w:p>
    <w:p>
      <w:pPr>
        <w:spacing w:after="0" w:line="145" w:lineRule="exact"/>
        <w:rPr>
          <w:rFonts w:ascii="Times New Roman" w:cs="Times New Roman" w:eastAsia="Times New Roman" w:hAnsi="Times New Roman"/>
          <w:sz w:val="22"/>
          <w:szCs w:val="22"/>
          <w:b w:val="1"/>
          <w:bCs w:val="1"/>
          <w:color w:val="auto"/>
        </w:rPr>
      </w:pPr>
    </w:p>
    <w:p>
      <w:pPr>
        <w:jc w:val="both"/>
        <w:ind w:firstLine="656"/>
        <w:spacing w:after="0" w:line="227" w:lineRule="auto"/>
        <w:tabs>
          <w:tab w:leader="none" w:pos="1293" w:val="left"/>
        </w:tabs>
        <w:numPr>
          <w:ilvl w:val="1"/>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Unfunded Plan</w:t>
      </w:r>
      <w:r>
        <w:rPr>
          <w:rFonts w:ascii="Times New Roman" w:cs="Times New Roman" w:eastAsia="Times New Roman" w:hAnsi="Times New Roman"/>
          <w:sz w:val="22"/>
          <w:szCs w:val="22"/>
          <w:color w:val="auto"/>
        </w:rPr>
        <w:t>. The Company’s obligations under the Plan are unfunded, and no Participant will have any right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specific assets of the Company in respect of any Award. Participants will be general unsecured creditors of the Company with respect to any amounts due or payable under the Plan.</w:t>
      </w:r>
    </w:p>
    <w:p>
      <w:pPr>
        <w:spacing w:after="0" w:line="146"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ESTABLISHMENT OF SUB-PLANS</w:t>
      </w:r>
    </w:p>
    <w:p>
      <w:pPr>
        <w:spacing w:after="0" w:line="21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The Administrator may at any time and from time to time (including before or after an Award is granted) establish, adopt or revise any rules and regulations as it may deem necessary or advisable to administer the Plan for Participants based outside of the U.S. and/or subject to the laws of countries other than the U.S., including by establishing one or more sub-plans, supplements or appendices under the Plan or any Award agreement for the purpose of complying or facilitating compliance with non-U.S. laws or taking advantage of tax favorable treatment or for any other legal or administrative reason determined by the Administrator. Any such sub-plan, supplement or appendix may contain (i) such limitations on the Administrator’s discretion under the Plan and (ii) such additional or different terms and conditions, in each case, as the Administrator deems necessary or desirable, and will be deemed to be part of the Plan but will apply only to Participants within the group to which the sub-plan, supplement or appendix applies (as determined by the Administrator);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sub-plan, supplement, appendix, rule or regulation established pursuant to this provision shall increase the Share Pool.</w:t>
      </w:r>
    </w:p>
    <w:p>
      <w:pPr>
        <w:spacing w:after="0" w:line="152" w:lineRule="exact"/>
        <w:rPr>
          <w:sz w:val="20"/>
          <w:szCs w:val="20"/>
          <w:color w:val="auto"/>
        </w:rPr>
      </w:pPr>
    </w:p>
    <w:p>
      <w:pPr>
        <w:ind w:left="660" w:hanging="652"/>
        <w:spacing w:after="0"/>
        <w:tabs>
          <w:tab w:leader="none" w:pos="660" w:val="left"/>
        </w:tabs>
        <w:numPr>
          <w:ilvl w:val="0"/>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GOVERNING LAW</w:t>
      </w:r>
    </w:p>
    <w:p>
      <w:pPr>
        <w:spacing w:after="0" w:line="179"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1"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Requirements of Corporate Law</w:t>
      </w:r>
      <w:r>
        <w:rPr>
          <w:rFonts w:ascii="Times New Roman" w:cs="Times New Roman" w:eastAsia="Times New Roman" w:hAnsi="Times New Roman"/>
          <w:sz w:val="22"/>
          <w:szCs w:val="22"/>
          <w:color w:val="auto"/>
        </w:rPr>
        <w:t>. Awards and shares of Stock will be granted, issued and administered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the 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48" w:lineRule="exact"/>
        <w:rPr>
          <w:rFonts w:ascii="Times New Roman" w:cs="Times New Roman" w:eastAsia="Times New Roman" w:hAnsi="Times New Roman"/>
          <w:sz w:val="22"/>
          <w:szCs w:val="22"/>
          <w:b w:val="1"/>
          <w:bCs w:val="1"/>
          <w:color w:val="auto"/>
        </w:rPr>
      </w:pPr>
    </w:p>
    <w:p>
      <w:pPr>
        <w:jc w:val="both"/>
        <w:ind w:firstLine="656"/>
        <w:spacing w:after="0" w:line="221" w:lineRule="auto"/>
        <w:tabs>
          <w:tab w:leader="none" w:pos="1290" w:val="left"/>
        </w:tabs>
        <w:numPr>
          <w:ilvl w:val="1"/>
          <w:numId w:val="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Matters</w:t>
      </w:r>
      <w:r>
        <w:rPr>
          <w:rFonts w:ascii="Times New Roman" w:cs="Times New Roman" w:eastAsia="Times New Roman" w:hAnsi="Times New Roman"/>
          <w:sz w:val="22"/>
          <w:szCs w:val="22"/>
          <w:color w:val="auto"/>
        </w:rPr>
        <w:t>. Except as otherwise provided by the express terms of an Award agreement, under a sub-plan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described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or as provided in </w:t>
      </w:r>
      <w:r>
        <w:rPr>
          <w:rFonts w:ascii="Times New Roman" w:cs="Times New Roman" w:eastAsia="Times New Roman" w:hAnsi="Times New Roman"/>
          <w:sz w:val="22"/>
          <w:szCs w:val="22"/>
          <w:u w:val="single" w:color="auto"/>
          <w:color w:val="auto"/>
        </w:rPr>
        <w:t>Section 13(a)</w:t>
      </w:r>
      <w:r>
        <w:rPr>
          <w:rFonts w:ascii="Times New Roman" w:cs="Times New Roman" w:eastAsia="Times New Roman" w:hAnsi="Times New Roman"/>
          <w:sz w:val="22"/>
          <w:szCs w:val="22"/>
          <w:color w:val="auto"/>
        </w:rPr>
        <w:t xml:space="preserve"> above, the domestic substantive laws of the Commonwealth of Massachusetts govern the provisions of the Plan and of Awards under the Plan and all claims or disputes arising out of or based upon the Plan or any Award under the Plan or relating to the subject matter hereof or thereof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5" w:right="339" w:bottom="1440" w:gutter="0" w:footer="0" w:header="0"/>
        </w:sectPr>
      </w:pPr>
    </w:p>
    <w:bookmarkStart w:id="14" w:name="page15"/>
    <w:bookmarkEnd w:id="14"/>
    <w:p>
      <w:pPr>
        <w:spacing w:after="0" w:line="236" w:lineRule="auto"/>
        <w:rPr>
          <w:sz w:val="20"/>
          <w:szCs w:val="20"/>
          <w:color w:val="auto"/>
        </w:rPr>
      </w:pPr>
      <w:r>
        <w:rPr>
          <w:rFonts w:ascii="Times New Roman" w:cs="Times New Roman" w:eastAsia="Times New Roman" w:hAnsi="Times New Roman"/>
          <w:sz w:val="22"/>
          <w:szCs w:val="22"/>
          <w:color w:val="auto"/>
        </w:rPr>
        <w:t>giving effect to any choice or conflict of laws provision or rule that would cause the application of the domestic substantive laws of any other jurisdiction.</w:t>
      </w:r>
    </w:p>
    <w:p>
      <w:pPr>
        <w:spacing w:after="0" w:line="146" w:lineRule="exact"/>
        <w:rPr>
          <w:sz w:val="20"/>
          <w:szCs w:val="20"/>
          <w:color w:val="auto"/>
        </w:rPr>
      </w:pPr>
    </w:p>
    <w:p>
      <w:pPr>
        <w:jc w:val="both"/>
        <w:ind w:firstLine="656"/>
        <w:spacing w:after="0" w:line="210" w:lineRule="auto"/>
        <w:tabs>
          <w:tab w:leader="none" w:pos="1293"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Jurisdiction</w:t>
      </w:r>
      <w:r>
        <w:rPr>
          <w:rFonts w:ascii="Times New Roman" w:cs="Times New Roman" w:eastAsia="Times New Roman" w:hAnsi="Times New Roman"/>
          <w:sz w:val="22"/>
          <w:szCs w:val="22"/>
          <w:color w:val="auto"/>
        </w:rPr>
        <w:t>. Subject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except as may be expressly set forth in an Award agreement,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accepting (or being deemed to have accepted) an Award, each Participant agrees or will be deemed to have agreed to (i) 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Definition of Terms</w:t>
      </w:r>
    </w:p>
    <w:p>
      <w:pPr>
        <w:spacing w:after="0" w:line="22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The following terms, when used in the Plan, have the meanings and are subject to the provisions set forth below:</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Accounting Rules</w:t>
      </w:r>
      <w:r>
        <w:rPr>
          <w:rFonts w:ascii="Times New Roman" w:cs="Times New Roman" w:eastAsia="Times New Roman" w:hAnsi="Times New Roman"/>
          <w:sz w:val="22"/>
          <w:szCs w:val="22"/>
          <w:color w:val="auto"/>
        </w:rPr>
        <w:t>”: Financial Accounting Standards Board Accounting Standards Codification Topic 718, or any successor provision.</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xml:space="preserve">”: The Compensation Committee, </w:t>
      </w:r>
      <w:r>
        <w:rPr>
          <w:rFonts w:ascii="Times New Roman" w:cs="Times New Roman" w:eastAsia="Times New Roman" w:hAnsi="Times New Roman"/>
          <w:sz w:val="22"/>
          <w:szCs w:val="22"/>
          <w:color w:val="231F20"/>
        </w:rPr>
        <w:t>which is the independent compensation committee of the Board within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231F20"/>
        </w:rPr>
        <w:t xml:space="preserve">the meaning of Rule 5635(c)(4) of the Nasdaq Listing Rules, </w:t>
      </w:r>
      <w:r>
        <w:rPr>
          <w:rFonts w:ascii="Times New Roman" w:cs="Times New Roman" w:eastAsia="Times New Roman" w:hAnsi="Times New Roman"/>
          <w:sz w:val="22"/>
          <w:szCs w:val="22"/>
          <w:color w:val="000000"/>
        </w:rPr>
        <w:t>except with respect to such matters that are not delegated to the</w:t>
      </w:r>
      <w:r>
        <w:rPr>
          <w:rFonts w:ascii="Times New Roman" w:cs="Times New Roman" w:eastAsia="Times New Roman" w:hAnsi="Times New Roman"/>
          <w:sz w:val="22"/>
          <w:szCs w:val="22"/>
          <w:color w:val="231F20"/>
        </w:rPr>
        <w:t xml:space="preserve"> </w:t>
      </w:r>
      <w:r>
        <w:rPr>
          <w:rFonts w:ascii="Times New Roman" w:cs="Times New Roman" w:eastAsia="Times New Roman" w:hAnsi="Times New Roman"/>
          <w:sz w:val="22"/>
          <w:szCs w:val="22"/>
          <w:color w:val="000000"/>
        </w:rPr>
        <w:t>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and (ii)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Any or a combination of the following:</w:t>
      </w:r>
    </w:p>
    <w:p>
      <w:pPr>
        <w:spacing w:after="0" w:line="233" w:lineRule="exact"/>
        <w:rPr>
          <w:sz w:val="20"/>
          <w:szCs w:val="20"/>
          <w:color w:val="auto"/>
        </w:rPr>
      </w:pPr>
    </w:p>
    <w:p>
      <w:pPr>
        <w:ind w:left="1720" w:hanging="416"/>
        <w:spacing w:after="0"/>
        <w:tabs>
          <w:tab w:leader="none" w:pos="17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Options.</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SARs.</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Stock Units, including Restricted Stock Units.</w:t>
      </w:r>
    </w:p>
    <w:p>
      <w:pPr>
        <w:spacing w:after="0" w:line="219" w:lineRule="exact"/>
        <w:rPr>
          <w:rFonts w:ascii="Times New Roman" w:cs="Times New Roman" w:eastAsia="Times New Roman" w:hAnsi="Times New Roman"/>
          <w:sz w:val="22"/>
          <w:szCs w:val="22"/>
          <w:color w:val="auto"/>
        </w:rPr>
      </w:pPr>
    </w:p>
    <w:p>
      <w:pPr>
        <w:ind w:left="1840" w:hanging="536"/>
        <w:spacing w:after="0"/>
        <w:tabs>
          <w:tab w:leader="none" w:pos="18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Performance Awards.</w:t>
      </w:r>
    </w:p>
    <w:p>
      <w:pPr>
        <w:spacing w:after="0" w:line="219" w:lineRule="exact"/>
        <w:rPr>
          <w:rFonts w:ascii="Times New Roman" w:cs="Times New Roman" w:eastAsia="Times New Roman" w:hAnsi="Times New Roman"/>
          <w:sz w:val="22"/>
          <w:szCs w:val="22"/>
          <w:color w:val="auto"/>
        </w:rPr>
      </w:pPr>
    </w:p>
    <w:p>
      <w:pPr>
        <w:ind w:left="1800" w:hanging="496"/>
        <w:spacing w:after="0"/>
        <w:tabs>
          <w:tab w:leader="none" w:pos="18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Awards (other than Awards described in (i) through (iv) above) that are convertible into or otherwise based</w:t>
      </w:r>
    </w:p>
    <w:p>
      <w:pPr>
        <w:spacing w:after="0" w:line="40" w:lineRule="exact"/>
        <w:rPr>
          <w:rFonts w:ascii="Times New Roman" w:cs="Times New Roman" w:eastAsia="Times New Roman" w:hAnsi="Times New Roman"/>
          <w:sz w:val="21"/>
          <w:szCs w:val="21"/>
          <w:color w:val="auto"/>
        </w:rPr>
      </w:pP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on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In the case of any Participant who is subject to a currently effective employment agreement with the Company (or one of its affiliates) containing a definition of “Cause”, the definition of “Cause” as provided for in such agreement; and with respect to any other Participant, (i) the Participant’s dishonest statements or acts with respect to the Company or any affiliate of the Company, or any current or prospective customers, suppliers vendors or other third parties with which the Company, or any affiliate, does business; (ii) the Participant’s commission of (A) a felony or (B) any crime involving moral turpitude, deceit, dishonesty or fraud; (iii) the Participant’s failure to perform his or her assigned duties and responsibilities to the reasonable satisfaction of the Company which failure continues, in the reasonable judgment of the Company, after written notice given to the Participant by the Company; (iv) the</w:t>
      </w:r>
    </w:p>
    <w:p>
      <w:pPr>
        <w:sectPr>
          <w:pgSz w:w="11900" w:h="16838" w:orient="portrait"/>
          <w:cols w:equalWidth="0" w:num="1">
            <w:col w:w="11240"/>
          </w:cols>
          <w:pgMar w:left="320" w:top="1418" w:right="339" w:bottom="1440" w:gutter="0" w:footer="0" w:header="0"/>
        </w:sectPr>
      </w:pPr>
    </w:p>
    <w:bookmarkStart w:id="16" w:name="page17"/>
    <w:bookmarkEnd w:id="16"/>
    <w:p>
      <w:pPr>
        <w:jc w:val="both"/>
        <w:spacing w:after="0" w:line="263" w:lineRule="auto"/>
        <w:rPr>
          <w:sz w:val="20"/>
          <w:szCs w:val="20"/>
          <w:color w:val="auto"/>
        </w:rPr>
      </w:pPr>
      <w:r>
        <w:rPr>
          <w:rFonts w:ascii="Times New Roman" w:cs="Times New Roman" w:eastAsia="Times New Roman" w:hAnsi="Times New Roman"/>
          <w:sz w:val="21"/>
          <w:szCs w:val="21"/>
          <w:color w:val="auto"/>
        </w:rPr>
        <w:t>Participant’s gross negligence, willful misconduct or insubordination with respect to the Company or any affiliate of the Company; (v) a violation by a Participant of the code of conduct of the Company or any of its affiliates or of any material policy of the Company or any of its affiliates, or of any statutory or common law duty of loyalty to the Company or any of its affiliates;</w:t>
      </w:r>
    </w:p>
    <w:p>
      <w:pPr>
        <w:spacing w:after="0" w:line="2" w:lineRule="exact"/>
        <w:rPr>
          <w:sz w:val="20"/>
          <w:szCs w:val="20"/>
          <w:color w:val="auto"/>
        </w:rPr>
      </w:pPr>
    </w:p>
    <w:p>
      <w:pPr>
        <w:jc w:val="both"/>
        <w:ind w:firstLine="8"/>
        <w:spacing w:after="0" w:line="248" w:lineRule="auto"/>
        <w:tabs>
          <w:tab w:leader="none" w:pos="3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material breach of any of the terms of the Plan or any Award made under the Plan, or the Participant’s material violation of any provision of any agreement(s) between the Participant and the Company, including any such agreements relating to noncompetition, nonsolicitation, nondisclosure and/or assignment of inventions; or (vii) any other conduct by a Participant that could be expected to be harmful to the business, interests or reputation of the Company.</w:t>
      </w:r>
    </w:p>
    <w:p>
      <w:pPr>
        <w:spacing w:after="0" w:line="18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U.S. Internal Revenue Code of 1986, as from time to time amended and in effect, or any successor statute as from time to time in effect, including any applicable regulations and guidance thereunder.</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CAMP4 Therapeutics Corporation, a Delaware corporation.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Compensation Committee</w:t>
      </w:r>
      <w:r>
        <w:rPr>
          <w:rFonts w:ascii="Times New Roman" w:cs="Times New Roman" w:eastAsia="Times New Roman" w:hAnsi="Times New Roman"/>
          <w:sz w:val="22"/>
          <w:szCs w:val="22"/>
          <w:color w:val="auto"/>
        </w:rPr>
        <w:t>”: The compensation committee of the Board.</w:t>
      </w:r>
    </w:p>
    <w:p>
      <w:pPr>
        <w:spacing w:after="0" w:line="2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Covered Transaction</w:t>
      </w:r>
      <w:r>
        <w:rPr>
          <w:rFonts w:ascii="Times New Roman" w:cs="Times New Roman" w:eastAsia="Times New Roman" w:hAnsi="Times New Roman"/>
          <w:sz w:val="22"/>
          <w:szCs w:val="22"/>
          <w:color w:val="auto"/>
        </w:rPr>
        <w:t>”: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Date of Adoption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June 10, 2026</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In the case of any Participant who is subject to a currently effective employment agreement with the Company (or one of its affiliates) that contains a definition of “Disability” (or a corollary term), the definition set forth in such agreement applies with respect to such Participant for purposes of the Plan for so long as such agreement is in effect. In every other case, “Disability” means, as determined by the Administrator, absence from work due to a disability for a period in excess of ninety (90) days in any twelve- (12) month period that would entitle the Participant to receive benefits under the Company’s long-term disability program as in effect from time to time (if the Participant were a participant in such program).</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231F20"/>
        </w:rPr>
        <w:t>“</w:t>
      </w:r>
      <w:r>
        <w:rPr>
          <w:rFonts w:ascii="Times New Roman" w:cs="Times New Roman" w:eastAsia="Times New Roman" w:hAnsi="Times New Roman"/>
          <w:sz w:val="22"/>
          <w:szCs w:val="22"/>
          <w:u w:val="single" w:color="auto"/>
          <w:color w:val="231F20"/>
        </w:rPr>
        <w:t>Eligible Individual</w:t>
      </w:r>
      <w:r>
        <w:rPr>
          <w:rFonts w:ascii="Times New Roman" w:cs="Times New Roman" w:eastAsia="Times New Roman" w:hAnsi="Times New Roman"/>
          <w:sz w:val="22"/>
          <w:szCs w:val="22"/>
          <w:color w:val="231F20"/>
        </w:rPr>
        <w:t>”: A person who meets the requirements prescribed in Section 5 of the Plan.</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A Participant’s employment or other service relationship with the Company or any of its subsidiaries. Employment will be deemed to continue, unless the Administrator otherwise determines, so long as the Participant is employed by, or otherwise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22" w:right="339" w:bottom="1440" w:gutter="0" w:footer="0" w:header="0"/>
        </w:sectPr>
      </w:pPr>
    </w:p>
    <w:bookmarkStart w:id="17" w:name="page18"/>
    <w:bookmarkEnd w:id="1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providing services in a capacity described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to, the Company or any of its subsidiaries.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The Securities Exchange Act of 1934, as amended.</w:t>
      </w:r>
    </w:p>
    <w:p>
      <w:pPr>
        <w:spacing w:after="0" w:line="2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As of a particular date, (i) the closing price for a share of Stock reported on the Nasdaq Global Market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409A to the extent applicable.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A person who is granted an Award under the Plan.</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Award</w:t>
      </w:r>
      <w:r>
        <w:rPr>
          <w:rFonts w:ascii="Times New Roman" w:cs="Times New Roman" w:eastAsia="Times New Roman" w:hAnsi="Times New Roman"/>
          <w:sz w:val="22"/>
          <w:szCs w:val="22"/>
          <w:color w:val="auto"/>
        </w:rPr>
        <w:t>”: An Award subject to performance vesting conditions, which may include Performance Criteria.</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Performance Criteria</w:t>
      </w:r>
      <w:r>
        <w:rPr>
          <w:rFonts w:ascii="Times New Roman" w:cs="Times New Roman" w:eastAsia="Times New Roman" w:hAnsi="Times New Roman"/>
          <w:sz w:val="22"/>
          <w:szCs w:val="22"/>
          <w:color w:val="auto"/>
        </w:rPr>
        <w:t>”: Specified criteria, other than the mere continuation of Employment or the mere passage of time, the satisfaction of which is a condition for the grant, exercisability, vesting or full enjoyment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A Performance Criterion may also be based on individual performance and/or subjective performance criteria.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22" w:right="3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CAMP4 Therapeutics Corporation 2026 Inducement Plan, as from time to time amended and in effect.</w:t>
      </w:r>
    </w:p>
    <w:p>
      <w:pPr>
        <w:spacing w:after="0" w:line="220"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A Stock Unit that is, or as to which the delivery of Stock or of cash in lieu of Stock is, subject to the satisfaction of specified performance or other vesting conditions.</w:t>
      </w:r>
    </w:p>
    <w:p>
      <w:pPr>
        <w:spacing w:after="0" w:line="17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SAR</w:t>
      </w:r>
      <w:r>
        <w:rPr>
          <w:rFonts w:ascii="Times New Roman" w:cs="Times New Roman" w:eastAsia="Times New Roman" w:hAnsi="Times New Roman"/>
          <w:sz w:val="22"/>
          <w:szCs w:val="22"/>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Section 409A of the Code and the regulations thereunder.</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w:t>
      </w:r>
      <w:r>
        <w:rPr>
          <w:rFonts w:ascii="Times New Roman" w:cs="Times New Roman" w:eastAsia="Times New Roman" w:hAnsi="Times New Roman"/>
          <w:sz w:val="22"/>
          <w:szCs w:val="22"/>
          <w:color w:val="auto"/>
        </w:rPr>
        <w:t>”: Common stock of the Company, par value $0.0001 per share.</w:t>
      </w:r>
    </w:p>
    <w:p>
      <w:pPr>
        <w:spacing w:after="0" w:line="23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Option</w:t>
      </w:r>
      <w:r>
        <w:rPr>
          <w:rFonts w:ascii="Times New Roman" w:cs="Times New Roman" w:eastAsia="Times New Roman" w:hAnsi="Times New Roman"/>
          <w:sz w:val="22"/>
          <w:szCs w:val="22"/>
          <w:color w:val="auto"/>
        </w:rPr>
        <w:t>”: An option entitling the holder to acquire shares of Stock upon payment of the exercise price. No Stock Option granted under the Plan is intended to be an “incentive stock option” within the meaning of Section 422 of the Code.</w:t>
      </w:r>
    </w:p>
    <w:p>
      <w:pPr>
        <w:spacing w:after="0" w:line="158"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Stock Unit</w:t>
      </w:r>
      <w:r>
        <w:rPr>
          <w:rFonts w:ascii="Times New Roman" w:cs="Times New Roman" w:eastAsia="Times New Roman" w:hAnsi="Times New Roman"/>
          <w:sz w:val="22"/>
          <w:szCs w:val="22"/>
          <w:color w:val="auto"/>
        </w:rPr>
        <w:t>”: An unfunded and unsecured promise, denominated in shares of Stock, to deliver Stock or cash measured by the value of Stock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22"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23430" cy="908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908685"/>
                    </a:xfrm>
                    <a:prstGeom prst="rect">
                      <a:avLst/>
                    </a:prstGeom>
                    <a:noFill/>
                  </pic:spPr>
                </pic:pic>
              </a:graphicData>
            </a:graphic>
          </wp:anchor>
        </w:drawing>
      </w:r>
    </w:p>
    <w:p>
      <w:pPr>
        <w:spacing w:after="0" w:line="1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Number of Shares of Stock subject to the Stock Option:</w:t>
      </w:r>
    </w:p>
    <w:p>
      <w:pPr>
        <w:spacing w:after="0" w:line="31" w:lineRule="exact"/>
        <w:rPr>
          <w:sz w:val="20"/>
          <w:szCs w:val="20"/>
          <w:color w:val="auto"/>
        </w:rPr>
      </w:pPr>
    </w:p>
    <w:p>
      <w:pPr>
        <w:ind w:left="100"/>
        <w:spacing w:after="0"/>
        <w:tabs>
          <w:tab w:leader="none" w:pos="10640" w:val="left"/>
        </w:tabs>
        <w:rPr>
          <w:sz w:val="20"/>
          <w:szCs w:val="20"/>
          <w:color w:val="auto"/>
        </w:rPr>
      </w:pPr>
      <w:r>
        <w:rPr>
          <w:rFonts w:ascii="Times New Roman" w:cs="Times New Roman" w:eastAsia="Times New Roman" w:hAnsi="Times New Roman"/>
          <w:sz w:val="22"/>
          <w:szCs w:val="22"/>
          <w:b w:val="1"/>
          <w:bCs w:val="1"/>
          <w:color w:val="auto"/>
        </w:rPr>
        <w:t>Exercise Price Per Share:</w:t>
      </w:r>
      <w:r>
        <w:rPr>
          <w:sz w:val="20"/>
          <w:szCs w:val="20"/>
          <w:color w:val="auto"/>
        </w:rPr>
        <w:tab/>
      </w:r>
      <w:r>
        <w:rPr>
          <w:rFonts w:ascii="Times New Roman" w:cs="Times New Roman" w:eastAsia="Times New Roman" w:hAnsi="Times New Roman"/>
          <w:sz w:val="22"/>
          <w:szCs w:val="22"/>
          <w:b w:val="1"/>
          <w:bCs w:val="1"/>
          <w:color w:val="auto"/>
        </w:rPr>
        <w:t>$</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Date of Grant:</w:t>
      </w:r>
    </w:p>
    <w:p>
      <w:pPr>
        <w:spacing w:after="0" w:line="3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b w:val="1"/>
          <w:bCs w:val="1"/>
          <w:color w:val="auto"/>
        </w:rPr>
        <w:t>[Vesting Commencement Date:]</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CAMP4 THERAPEUTICS CORPORATION</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2026 INDUCEMENT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NON-STATUTORY STOCK OPTION AGREEMENT</w:t>
      </w:r>
    </w:p>
    <w:p>
      <w:pPr>
        <w:spacing w:after="0" w:line="22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This agreement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xml:space="preserve">”) evidences a stock option (the </w:t>
      </w:r>
      <w:r>
        <w:rPr>
          <w:rFonts w:ascii="Times New Roman" w:cs="Times New Roman" w:eastAsia="Times New Roman" w:hAnsi="Times New Roman"/>
          <w:sz w:val="22"/>
          <w:szCs w:val="22"/>
          <w:b w:val="1"/>
          <w:bCs w:val="1"/>
          <w:color w:val="auto"/>
        </w:rPr>
        <w:t>“Stock Option”</w:t>
      </w:r>
      <w:r>
        <w:rPr>
          <w:rFonts w:ascii="Times New Roman" w:cs="Times New Roman" w:eastAsia="Times New Roman" w:hAnsi="Times New Roman"/>
          <w:sz w:val="22"/>
          <w:szCs w:val="22"/>
          <w:color w:val="auto"/>
        </w:rPr>
        <w:t>) granted by CAMP4 Therapeutics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to the individual named above (the “</w:t>
      </w:r>
      <w:r>
        <w:rPr>
          <w:rFonts w:ascii="Times New Roman" w:cs="Times New Roman" w:eastAsia="Times New Roman" w:hAnsi="Times New Roman"/>
          <w:sz w:val="22"/>
          <w:szCs w:val="22"/>
          <w:b w:val="1"/>
          <w:bCs w:val="1"/>
          <w:color w:val="auto"/>
        </w:rPr>
        <w:t>Participant</w:t>
      </w:r>
      <w:r>
        <w:rPr>
          <w:rFonts w:ascii="Times New Roman" w:cs="Times New Roman" w:eastAsia="Times New Roman" w:hAnsi="Times New Roman"/>
          <w:sz w:val="22"/>
          <w:szCs w:val="22"/>
          <w:color w:val="auto"/>
        </w:rPr>
        <w:t>”), pursuant to and subject to the terms of the CAMP4 Therapeutics Corporation 2026 Inducement Plan (as from time to time amended and in effect,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Except as otherwise defined herein, all capitalized terms used herein have the same meaning as in the Plan.</w:t>
      </w:r>
    </w:p>
    <w:p>
      <w:pPr>
        <w:spacing w:after="0" w:line="141" w:lineRule="exact"/>
        <w:rPr>
          <w:sz w:val="20"/>
          <w:szCs w:val="20"/>
          <w:color w:val="auto"/>
        </w:rPr>
      </w:pPr>
    </w:p>
    <w:p>
      <w:pPr>
        <w:jc w:val="both"/>
        <w:ind w:firstLine="656"/>
        <w:spacing w:after="0" w:line="221"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Grant of Stock Option</w:t>
      </w:r>
      <w:r>
        <w:rPr>
          <w:rFonts w:ascii="Times New Roman" w:cs="Times New Roman" w:eastAsia="Times New Roman" w:hAnsi="Times New Roman"/>
          <w:sz w:val="22"/>
          <w:szCs w:val="22"/>
          <w:color w:val="auto"/>
        </w:rPr>
        <w:t>. The Company grants to the Participant on the date set forth above (the “</w:t>
      </w:r>
      <w:r>
        <w:rPr>
          <w:rFonts w:ascii="Times New Roman" w:cs="Times New Roman" w:eastAsia="Times New Roman" w:hAnsi="Times New Roman"/>
          <w:sz w:val="22"/>
          <w:szCs w:val="22"/>
          <w:b w:val="1"/>
          <w:bCs w:val="1"/>
          <w:color w:val="auto"/>
        </w:rPr>
        <w:t>Date of Grant</w:t>
      </w:r>
      <w:r>
        <w:rPr>
          <w:rFonts w:ascii="Times New Roman" w:cs="Times New Roman" w:eastAsia="Times New Roman" w:hAnsi="Times New Roman"/>
          <w:sz w:val="22"/>
          <w:szCs w:val="22"/>
          <w:color w:val="auto"/>
        </w:rPr>
        <w:t>”) the Stock Option to purchase, pursuant to and subject to the terms set forth in this Agreement and in the Plan, up to the number of shares of Stock set forth above (the “</w:t>
      </w:r>
      <w:r>
        <w:rPr>
          <w:rFonts w:ascii="Times New Roman" w:cs="Times New Roman" w:eastAsia="Times New Roman" w:hAnsi="Times New Roman"/>
          <w:sz w:val="22"/>
          <w:szCs w:val="22"/>
          <w:b w:val="1"/>
          <w:bCs w:val="1"/>
          <w:color w:val="auto"/>
        </w:rPr>
        <w:t>Shares</w:t>
      </w:r>
      <w:r>
        <w:rPr>
          <w:rFonts w:ascii="Times New Roman" w:cs="Times New Roman" w:eastAsia="Times New Roman" w:hAnsi="Times New Roman"/>
          <w:sz w:val="22"/>
          <w:szCs w:val="22"/>
          <w:color w:val="auto"/>
        </w:rPr>
        <w:t>”) with an exercise price per Share as set forth above, in each case subject to adjustment pursuant to Section 7 of the Plan in respect of transactions occurring after the date hereof.</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Stock Option evidenced by this Agreement is a non-statutory option (that is, an option that is not intended to qualify as an incentive stock option) and is granted to the Participant in connection with the Participant’s commencement of Employment.</w:t>
      </w:r>
    </w:p>
    <w:p>
      <w:pPr>
        <w:spacing w:after="0" w:line="155" w:lineRule="exact"/>
        <w:rPr>
          <w:sz w:val="20"/>
          <w:szCs w:val="20"/>
          <w:color w:val="auto"/>
        </w:rPr>
      </w:pPr>
    </w:p>
    <w:p>
      <w:pPr>
        <w:jc w:val="both"/>
        <w:ind w:firstLine="656"/>
        <w:spacing w:after="0" w:line="228" w:lineRule="auto"/>
        <w:tabs>
          <w:tab w:leader="none" w:pos="1296"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Vesting</w:t>
      </w:r>
      <w:r>
        <w:rPr>
          <w:rFonts w:ascii="Times New Roman" w:cs="Times New Roman" w:eastAsia="Times New Roman" w:hAnsi="Times New Roman"/>
          <w:sz w:val="21"/>
          <w:szCs w:val="21"/>
          <w:color w:val="auto"/>
        </w:rPr>
        <w:t>. The term “</w:t>
      </w:r>
      <w:r>
        <w:rPr>
          <w:rFonts w:ascii="Times New Roman" w:cs="Times New Roman" w:eastAsia="Times New Roman" w:hAnsi="Times New Roman"/>
          <w:sz w:val="21"/>
          <w:szCs w:val="21"/>
          <w:b w:val="1"/>
          <w:bCs w:val="1"/>
          <w:color w:val="auto"/>
        </w:rPr>
        <w:t>vest</w:t>
      </w:r>
      <w:r>
        <w:rPr>
          <w:rFonts w:ascii="Times New Roman" w:cs="Times New Roman" w:eastAsia="Times New Roman" w:hAnsi="Times New Roman"/>
          <w:sz w:val="21"/>
          <w:szCs w:val="21"/>
          <w:color w:val="auto"/>
        </w:rPr>
        <w:t>” as used herein with respect to the Stock Option or any portion thereof means to become exercisable and the term “</w:t>
      </w:r>
      <w:r>
        <w:rPr>
          <w:rFonts w:ascii="Times New Roman" w:cs="Times New Roman" w:eastAsia="Times New Roman" w:hAnsi="Times New Roman"/>
          <w:sz w:val="21"/>
          <w:szCs w:val="21"/>
          <w:b w:val="1"/>
          <w:bCs w:val="1"/>
          <w:color w:val="auto"/>
        </w:rPr>
        <w:t>vested</w:t>
      </w:r>
      <w:r>
        <w:rPr>
          <w:rFonts w:ascii="Times New Roman" w:cs="Times New Roman" w:eastAsia="Times New Roman" w:hAnsi="Times New Roman"/>
          <w:sz w:val="21"/>
          <w:szCs w:val="21"/>
          <w:color w:val="auto"/>
        </w:rPr>
        <w:t>” with respect to the Stock Option (or any portion thereof) means that the Stock Option (or portion thereof) is then exercisable. Unless earlier terminated, forfeited, relinquished or expired, the Stock Option will vest as follows: 25% of the Shares subject to the Stock Option shall vest on the first anniversary of the Vesting Commencement Date and the remaining Shares subject to the Stock Option shall vest in equal monthly installments over 36 months thereafter.</w:t>
      </w:r>
    </w:p>
    <w:p>
      <w:pPr>
        <w:spacing w:after="0" w:line="152" w:lineRule="exact"/>
        <w:rPr>
          <w:rFonts w:ascii="Times New Roman" w:cs="Times New Roman" w:eastAsia="Times New Roman" w:hAnsi="Times New Roman"/>
          <w:sz w:val="21"/>
          <w:szCs w:val="21"/>
          <w:color w:val="auto"/>
        </w:rPr>
      </w:pPr>
    </w:p>
    <w:p>
      <w:pPr>
        <w:jc w:val="both"/>
        <w:ind w:firstLine="656"/>
        <w:spacing w:after="0" w:line="213"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Exercise of the Stock Option</w:t>
      </w:r>
      <w:r>
        <w:rPr>
          <w:rFonts w:ascii="Times New Roman" w:cs="Times New Roman" w:eastAsia="Times New Roman" w:hAnsi="Times New Roman"/>
          <w:sz w:val="22"/>
          <w:szCs w:val="22"/>
          <w:color w:val="auto"/>
        </w:rPr>
        <w:t>. No portion of the Stock Option may be exercised until such portion vests. Each election to exercise any vested portion of the Stock Option will be subject to the terms and conditions of this Agreement and the Plan and must be in written or electronic form acceptable to the Administrator, signed (including by electronic signature) by the Participant or, if at the relevant time the Stock Option has passed to the estate or beneficiary of the Participant or a permitted transferee, such estate or beneficiary or permitted transferee. Each such written or electronic exercise election must be received by the Company at its principal office or by such other party as the Administrator may prescribe and be accompanied by payment in full of the exercise price by cash or check, through a broker-assisted exercise program</w:t>
      </w:r>
    </w:p>
    <w:p>
      <w:pPr>
        <w:sectPr>
          <w:pgSz w:w="11900" w:h="16838" w:orient="portrait"/>
          <w:cols w:equalWidth="0" w:num="1">
            <w:col w:w="11240"/>
          </w:cols>
          <w:pgMar w:left="320" w:top="122" w:right="339" w:bottom="1440" w:gutter="0" w:footer="0" w:header="0"/>
        </w:sectPr>
      </w:pPr>
    </w:p>
    <w:bookmarkStart w:id="20" w:name="page21"/>
    <w:bookmarkEnd w:id="20"/>
    <w:p>
      <w:pPr>
        <w:jc w:val="both"/>
        <w:spacing w:after="0" w:line="207" w:lineRule="auto"/>
        <w:rPr>
          <w:sz w:val="20"/>
          <w:szCs w:val="20"/>
          <w:color w:val="auto"/>
        </w:rPr>
      </w:pPr>
      <w:r>
        <w:rPr>
          <w:rFonts w:ascii="Times New Roman" w:cs="Times New Roman" w:eastAsia="Times New Roman" w:hAnsi="Times New Roman"/>
          <w:sz w:val="22"/>
          <w:szCs w:val="22"/>
          <w:color w:val="auto"/>
        </w:rPr>
        <w:t>acceptable to the Administrator, or as otherwise provided in the Plan. The latest date on which the Stock Option or any portion thereof may be exercised is the tenth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anniversary of the Date of Grant and, if not exercised by such date, the Stock Option or any remaining portion thereof will thereupon immediately terminate.</w:t>
      </w:r>
    </w:p>
    <w:p>
      <w:pPr>
        <w:spacing w:after="0" w:line="150" w:lineRule="exact"/>
        <w:rPr>
          <w:sz w:val="20"/>
          <w:szCs w:val="20"/>
          <w:color w:val="auto"/>
        </w:rPr>
      </w:pPr>
    </w:p>
    <w:p>
      <w:pPr>
        <w:jc w:val="both"/>
        <w:ind w:firstLine="656"/>
        <w:spacing w:after="0" w:line="217"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Cessation of Employment</w:t>
      </w:r>
      <w:r>
        <w:rPr>
          <w:rFonts w:ascii="Times New Roman" w:cs="Times New Roman" w:eastAsia="Times New Roman" w:hAnsi="Times New Roman"/>
          <w:sz w:val="22"/>
          <w:szCs w:val="22"/>
          <w:color w:val="auto"/>
        </w:rPr>
        <w:t>. If the Participant’s Employment ceases, except as expressly provided for in a written employment or severance agreement between the Participant and the Company (or a severance plan under which the Participant has been designated as being entitled to receive benefits) that is in effect at the time of such termination, the Stock Option, to the extent not then vested, will be immediately forfeited for no consideration, and any vested portion of the Stock Option that is then outstanding will remain exercisable for the period described in Section 6(a)(4) of the Plan.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on Transfer</w:t>
      </w:r>
      <w:r>
        <w:rPr>
          <w:rFonts w:ascii="Times New Roman" w:cs="Times New Roman" w:eastAsia="Times New Roman" w:hAnsi="Times New Roman"/>
          <w:sz w:val="22"/>
          <w:szCs w:val="22"/>
          <w:color w:val="auto"/>
        </w:rPr>
        <w:t>. The Stock Option may not be transferred except as expressly permitted under Section 6(a)(3) of the Plan.</w:t>
      </w:r>
    </w:p>
    <w:p>
      <w:pPr>
        <w:spacing w:after="0" w:line="150"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 Forfeiture; Recovery of Compensation</w:t>
      </w:r>
      <w:r>
        <w:rPr>
          <w:rFonts w:ascii="Times New Roman" w:cs="Times New Roman" w:eastAsia="Times New Roman" w:hAnsi="Times New Roman"/>
          <w:sz w:val="22"/>
          <w:szCs w:val="22"/>
          <w:color w:val="auto"/>
        </w:rPr>
        <w:t>. By accepting, or being deemed to have accepted, the Stock Option, the Participant expressly acknowledges and agrees that his or her rights, and those of any permitted transferee, with respect to the Stock Option, including the right to any Shares acquired under the Stock Option or proceeds from the disposition thereof, are subject to Section 6(a)(5) of the Plan (including any successor provision). The Participant further acknowledges and agrees that the Stock Option, and any proceeds received therefrom, shall be subject to recoupment to the extent the Participant is or becomes subject to (i) the Company’s Policy for Recoupment of Incentive Compensation, as the same may be amended and in effect from time to time and (ii) the terms of any other clawback or recoupment policy of the Company that applies to incentive compensation that includes Awards such as the Stock Option. Nothing in the preceding sentence will be construed as limiting the general application of Section 9 of this Agreement.</w:t>
      </w:r>
    </w:p>
    <w:p>
      <w:pPr>
        <w:spacing w:after="0" w:line="158"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Participant expressly acknowledges and agrees that the Participant’s rights hereunder, including the right to be issued Shares upon exercise of the Stock Option, are subject to the Participant promptly paying to the Company in cash or by check (or by such other means as may be acceptable to the Administrator) all taxes required to be withheld, if any. No Shares will be issued pursuant to the exercise of the Stock Option unless and until the person exercising the Stock Option has remitted to the Company an amount in cash sufficient to satisfy any federal, state, or local withholding tax requirements, or has made other arrangements satisfactory to the Company with respect to such taxes. The Participant authorizes the Company and its subsidiaries to withhold such amount from any amounts otherwise owed to the Participant, but nothing in this sentence will be construed as relieving the Participant of any liability for satisfying his or her obligation under the preceding provisions of this Section.</w:t>
      </w:r>
    </w:p>
    <w:p>
      <w:pPr>
        <w:spacing w:after="0" w:line="158"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Acknowledgements</w:t>
      </w:r>
      <w:r>
        <w:rPr>
          <w:rFonts w:ascii="Times New Roman" w:cs="Times New Roman" w:eastAsia="Times New Roman" w:hAnsi="Times New Roman"/>
          <w:sz w:val="22"/>
          <w:szCs w:val="22"/>
          <w:color w:val="auto"/>
        </w:rPr>
        <w:t>. The Participant acknowledges and agrees that (i) this Agreement may be executed in two or more counterparts, each of which will be an original and all of which together will constitute one and the same instrument, (ii) this Agreement may be executed and exchanged using facsimile, portable document format (PDF) or electronic signature, which, in each case, will constitute an original signature for all purposes hereunder, and (iii) such signature by the Company will be binding against the Company and will create a legally binding agreement when this Agreement is countersigned by the Participant.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Provisions of the Plan</w:t>
      </w:r>
      <w:r>
        <w:rPr>
          <w:rFonts w:ascii="Times New Roman" w:cs="Times New Roman" w:eastAsia="Times New Roman" w:hAnsi="Times New Roman"/>
          <w:sz w:val="22"/>
          <w:szCs w:val="22"/>
          <w:color w:val="auto"/>
        </w:rPr>
        <w:t>. This Agreement is subject in its entirety to the provisions of the Plan, which are incorporated herein by reference. A copy of the Plan as in effect on the Date of Grant has been made available to the Participant. By accepting, or being deemed to have accepted, the Stock Option, the Participant agrees to be bound by the terms of the Plan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5" w:right="339" w:bottom="1440" w:gutter="0" w:footer="0" w:header="0"/>
        </w:sectPr>
      </w:pPr>
    </w:p>
    <w:bookmarkStart w:id="21" w:name="page22"/>
    <w:bookmarkEnd w:id="21"/>
    <w:p>
      <w:pPr>
        <w:ind w:left="4040" w:hanging="4512"/>
        <w:spacing w:after="0" w:line="463" w:lineRule="auto"/>
        <w:rPr>
          <w:sz w:val="20"/>
          <w:szCs w:val="20"/>
          <w:color w:val="auto"/>
        </w:rPr>
      </w:pPr>
      <w:r>
        <w:rPr>
          <w:rFonts w:ascii="Times New Roman" w:cs="Times New Roman" w:eastAsia="Times New Roman" w:hAnsi="Times New Roman"/>
          <w:sz w:val="22"/>
          <w:szCs w:val="22"/>
          <w:color w:val="auto"/>
        </w:rPr>
        <w:t xml:space="preserve">Agreement. In the event of any conflict between the terms of this Agreement and the Plan, the terms of the Plan will control. </w:t>
      </w: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300"/>
          </w:cols>
          <w:pgMar w:left="800" w:top="1395" w:right="799" w:bottom="1440" w:gutter="0" w:footer="0" w:header="0"/>
        </w:sectPr>
      </w:pPr>
    </w:p>
    <w:bookmarkStart w:id="22" w:name="page23"/>
    <w:bookmarkEnd w:id="22"/>
    <w:p>
      <w:pPr>
        <w:jc w:val="center"/>
        <w:ind w:left="980"/>
        <w:spacing w:after="0" w:line="476" w:lineRule="auto"/>
        <w:rPr>
          <w:sz w:val="20"/>
          <w:szCs w:val="20"/>
          <w:color w:val="auto"/>
        </w:rPr>
      </w:pPr>
      <w:r>
        <w:rPr>
          <w:rFonts w:ascii="Times New Roman" w:cs="Times New Roman" w:eastAsia="Times New Roman" w:hAnsi="Times New Roman"/>
          <w:sz w:val="22"/>
          <w:szCs w:val="22"/>
          <w:color w:val="auto"/>
        </w:rPr>
        <w:t>The Company, by its duly authorized officer, and the Participant have executed this Agreement as of the Date of Grant. CAMP4 THERAPEUTICS CORPORATION</w:t>
      </w:r>
    </w:p>
    <w:p>
      <w:pPr>
        <w:spacing w:after="0" w:line="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37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Agreed and Accepted: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-13970</wp:posOffset>
            </wp:positionV>
            <wp:extent cx="137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[Participant’s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i w:val="1"/>
          <w:iCs w:val="1"/>
          <w:color w:val="auto"/>
        </w:rPr>
        <w:t>Signature page to Stock Option Agreement</w:t>
      </w:r>
    </w:p>
    <w:sectPr>
      <w:pgSz w:w="11900" w:h="16838" w:orient="portrait"/>
      <w:cols w:equalWidth="0" w:num="1">
        <w:col w:w="10940"/>
      </w:cols>
      <w:pgMar w:left="320" w:top="1422"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decimal"/>
      <w:start w:val="3"/>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lowerLetter"/>
      <w:start w:val="2"/>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2"/>
    </w:lvl>
  </w:abstractNum>
  <w:abstractNum w:abstractNumId="8">
    <w:nsid w:val="6763845E"/>
    <w:multiLevelType w:val="hybridMultilevel"/>
    <w:lvl w:ilvl="0">
      <w:lvlJc w:val="left"/>
      <w:lvlText w:val="%1."/>
      <w:numFmt w:val="decimal"/>
      <w:start w:val="3"/>
    </w:lvl>
  </w:abstractNum>
  <w:abstractNum w:abstractNumId="9">
    <w:nsid w:val="75A2A8D4"/>
    <w:multiLevelType w:val="hybridMultilevel"/>
    <w:lvl w:ilvl="0">
      <w:lvlJc w:val="left"/>
      <w:lvlText w:val="%1."/>
      <w:numFmt w:val="decimal"/>
      <w:start w:val="4"/>
    </w:lvl>
    <w:lvl w:ilvl="1">
      <w:lvlJc w:val="left"/>
      <w:lvlText w:val="(%2)"/>
      <w:numFmt w:val="lowerLetter"/>
      <w:start w:val="1"/>
    </w:lvl>
  </w:abstractNum>
  <w:abstractNum w:abstractNumId="10">
    <w:nsid w:val="8EDBDAB"/>
    <w:multiLevelType w:val="hybridMultilevel"/>
    <w:lvl w:ilvl="0">
      <w:lvlJc w:val="left"/>
      <w:lvlText w:val="%1"/>
      <w:numFmt w:val="decimal"/>
      <w:start w:val="1"/>
    </w:lvl>
    <w:lvl w:ilvl="1">
      <w:lvlJc w:val="left"/>
      <w:lvlText w:val="(%2)"/>
      <w:numFmt w:val="lowerLetter"/>
      <w:start w:val="2"/>
    </w:lvl>
  </w:abstractNum>
  <w:abstractNum w:abstractNumId="11">
    <w:nsid w:val="79838CB2"/>
    <w:multiLevelType w:val="hybridMultilevel"/>
    <w:lvl w:ilvl="0">
      <w:lvlJc w:val="left"/>
      <w:lvlText w:val="%1."/>
      <w:numFmt w:val="decimal"/>
      <w:start w:val="5"/>
    </w:lvl>
    <w:lvl w:ilvl="1">
      <w:lvlJc w:val="left"/>
      <w:lvlText w:val="%2"/>
      <w:numFmt w:val="lowerLetter"/>
      <w:start w:val="1"/>
    </w:lvl>
  </w:abstractNum>
  <w:abstractNum w:abstractNumId="12">
    <w:nsid w:val="4353D0C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13">
    <w:nsid w:val="B03E0C6"/>
    <w:multiLevelType w:val="hybridMultilevel"/>
    <w:lvl w:ilvl="0">
      <w:lvlJc w:val="left"/>
      <w:lvlText w:val="%1"/>
      <w:numFmt w:val="decimal"/>
      <w:start w:val="1"/>
    </w:lvl>
    <w:lvl w:ilvl="1">
      <w:lvlJc w:val="left"/>
      <w:lvlText w:val="(%2)"/>
      <w:numFmt w:val="upperLetter"/>
      <w:start w:val="1"/>
    </w:lvl>
  </w:abstractNum>
  <w:abstractNum w:abstractNumId="14">
    <w:nsid w:val="189A769B"/>
    <w:multiLevelType w:val="hybridMultilevel"/>
    <w:lvl w:ilvl="0">
      <w:lvlJc w:val="left"/>
      <w:lvlText w:val="(%1)"/>
      <w:numFmt w:val="decimal"/>
      <w:start w:val="5"/>
    </w:lvl>
    <w:lvl w:ilvl="1">
      <w:lvlJc w:val="left"/>
      <w:lvlText w:val="%2"/>
      <w:numFmt w:val="upperLetter"/>
      <w:start w:val="1"/>
    </w:lvl>
  </w:abstractNum>
  <w:abstractNum w:abstractNumId="15">
    <w:nsid w:val="54E49EB4"/>
    <w:multiLevelType w:val="hybridMultilevel"/>
    <w:lvl w:ilvl="0">
      <w:lvlJc w:val="left"/>
      <w:lvlText w:val="(%1)"/>
      <w:numFmt w:val="decimal"/>
      <w:start w:val="6"/>
    </w:lvl>
    <w:lvl w:ilvl="1">
      <w:lvlJc w:val="left"/>
      <w:lvlText w:val="(%2)"/>
      <w:numFmt w:val="upperLetter"/>
      <w:start w:val="1"/>
    </w:lvl>
  </w:abstractNum>
  <w:abstractNum w:abstractNumId="16">
    <w:nsid w:val="71F32454"/>
    <w:multiLevelType w:val="hybridMultilevel"/>
    <w:lvl w:ilvl="0">
      <w:lvlJc w:val="left"/>
      <w:lvlText w:val="%1"/>
      <w:numFmt w:val="decimal"/>
      <w:start w:val="1"/>
    </w:lvl>
    <w:lvl w:ilvl="1">
      <w:lvlJc w:val="left"/>
      <w:lvlText w:val="(%2)"/>
      <w:numFmt w:val="upperLetter"/>
      <w:start w:val="2"/>
    </w:lvl>
  </w:abstractNum>
  <w:abstractNum w:abstractNumId="17">
    <w:nsid w:val="2CA88611"/>
    <w:multiLevelType w:val="hybridMultilevel"/>
    <w:lvl w:ilvl="0">
      <w:lvlJc w:val="left"/>
      <w:lvlText w:val="(%1)"/>
      <w:numFmt w:val="decimal"/>
      <w:start w:val="5"/>
    </w:lvl>
    <w:lvl w:ilvl="1">
      <w:lvlJc w:val="left"/>
      <w:lvlText w:val="%2"/>
      <w:numFmt w:val="upperLetter"/>
      <w:start w:val="1"/>
    </w:lvl>
  </w:abstractNum>
  <w:abstractNum w:abstractNumId="18">
    <w:nsid w:val="836C40E"/>
    <w:multiLevelType w:val="hybridMultilevel"/>
    <w:lvl w:ilvl="0">
      <w:lvlJc w:val="left"/>
      <w:lvlText w:val="(%1)"/>
      <w:numFmt w:val="lowerLetter"/>
      <w:start w:val="2"/>
    </w:lvl>
    <w:lvl w:ilvl="1">
      <w:lvlJc w:val="left"/>
      <w:lvlText w:val="(%2)"/>
      <w:numFmt w:val="decimal"/>
      <w:start w:val="1"/>
    </w:lvl>
  </w:abstractNum>
  <w:abstractNum w:abstractNumId="19">
    <w:nsid w:val="2901D82"/>
    <w:multiLevelType w:val="hybridMultilevel"/>
    <w:lvl w:ilvl="0">
      <w:lvlJc w:val="left"/>
      <w:lvlText w:val="(%1)"/>
      <w:numFmt w:val="decimal"/>
      <w:start w:val="4"/>
    </w:lvl>
  </w:abstractNum>
  <w:abstractNum w:abstractNumId="20">
    <w:nsid w:val="3A95F874"/>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21">
    <w:nsid w:val="8138641"/>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2">
    <w:nsid w:val="1E7FF521"/>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23">
    <w:nsid w:val="7C3DBD3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24">
    <w:nsid w:val="737B8DDC"/>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25">
    <w:nsid w:val="6CEAF087"/>
    <w:multiLevelType w:val="hybridMultilevel"/>
    <w:lvl w:ilvl="0">
      <w:lvlJc w:val="left"/>
      <w:lvlText w:val="(%1)"/>
      <w:numFmt w:val="lowerRoman"/>
      <w:start w:val="3"/>
    </w:lvl>
  </w:abstractNum>
  <w:abstractNum w:abstractNumId="26">
    <w:nsid w:val="22221A70"/>
    <w:multiLevelType w:val="hybridMultilevel"/>
    <w:lvl w:ilvl="0">
      <w:lvlJc w:val="left"/>
      <w:lvlText w:val="%1."/>
      <w:numFmt w:val="decimal"/>
      <w:start w:val="9"/>
    </w:lvl>
  </w:abstractNum>
  <w:abstractNum w:abstractNumId="27">
    <w:nsid w:val="4516DDE9"/>
    <w:multiLevelType w:val="hybridMultilevel"/>
    <w:lvl w:ilvl="0">
      <w:lvlJc w:val="left"/>
      <w:lvlText w:val="%1."/>
      <w:numFmt w:val="decimal"/>
      <w:start w:val="10"/>
    </w:lvl>
  </w:abstractNum>
  <w:abstractNum w:abstractNumId="28">
    <w:nsid w:val="3006C83E"/>
    <w:multiLevelType w:val="hybridMultilevel"/>
    <w:lvl w:ilvl="0">
      <w:lvlJc w:val="left"/>
      <w:lvlText w:val="%1."/>
      <w:numFmt w:val="decimal"/>
      <w:start w:val="11"/>
    </w:lvl>
    <w:lvl w:ilvl="1">
      <w:lvlJc w:val="left"/>
      <w:lvlText w:val="(%2)"/>
      <w:numFmt w:val="low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2"/>
    </w:lvl>
  </w:abstractNum>
  <w:abstractNum w:abstractNumId="30">
    <w:nsid w:val="419AC241"/>
    <w:multiLevelType w:val="hybridMultilevel"/>
    <w:lvl w:ilvl="0">
      <w:lvlJc w:val="left"/>
      <w:lvlText w:val="%1."/>
      <w:numFmt w:val="decimal"/>
      <w:start w:val="12"/>
    </w:lvl>
    <w:lvl w:ilvl="1">
      <w:lvlJc w:val="left"/>
      <w:lvlText w:val="%2"/>
      <w:numFmt w:val="lowerLetter"/>
      <w:start w:val="1"/>
    </w:lvl>
  </w:abstractNum>
  <w:abstractNum w:abstractNumId="31">
    <w:nsid w:val="5577F8E1"/>
    <w:multiLevelType w:val="hybridMultilevel"/>
    <w:lvl w:ilvl="0">
      <w:lvlJc w:val="left"/>
      <w:lvlText w:val="%1."/>
      <w:numFmt w:val="decimal"/>
      <w:start w:val="13"/>
    </w:lvl>
    <w:lvl w:ilvl="1">
      <w:lvlJc w:val="left"/>
      <w:lvlText w:val="(%2)"/>
      <w:numFmt w:val="lowerLetter"/>
      <w:start w:val="1"/>
    </w:lvl>
  </w:abstractNum>
  <w:abstractNum w:abstractNumId="32">
    <w:nsid w:val="440BADFC"/>
    <w:multiLevelType w:val="hybridMultilevel"/>
    <w:lvl w:ilvl="0">
      <w:lvlJc w:val="left"/>
      <w:lvlText w:val="(%1)"/>
      <w:numFmt w:val="lowerLetter"/>
      <w:start w:val="3"/>
    </w:lvl>
  </w:abstractNum>
  <w:abstractNum w:abstractNumId="33">
    <w:nsid w:val="5072367"/>
    <w:multiLevelType w:val="hybridMultilevel"/>
    <w:lvl w:ilvl="0">
      <w:lvlJc w:val="left"/>
      <w:lvlText w:val="(%1)"/>
      <w:numFmt w:val="lowerRoman"/>
      <w:start w:val="1"/>
    </w:lvl>
  </w:abstractNum>
  <w:abstractNum w:abstractNumId="34">
    <w:nsid w:val="3804823E"/>
    <w:multiLevelType w:val="hybridMultilevel"/>
    <w:lvl w:ilvl="0">
      <w:lvlJc w:val="left"/>
      <w:lvlText w:val="(%1)"/>
      <w:numFmt w:val="lowerRoman"/>
      <w:start w:val="6"/>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2"/>
    </w:lvl>
  </w:abstractNum>
  <w:abstractNum w:abstractNumId="37">
    <w:nsid w:val="5C482A9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2026-06-12T15:18:32Z</dcterms:created>
  <dcterms:modified xsi:type="dcterms:W3CDTF">2026-06-12T15:18:32Z</dcterms:modified>
</cp:coreProperties>
</file>