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60"/>
        <w:jc w:val="both"/>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120"/>
        <w:jc w:val="both"/>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20"/>
        <w:ind w:left="0" w:right="0" w:firstLine="9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0" w:after="240"/>
        <w:ind w:left="0" w:right="0" w:firstLine="72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120"/>
        <w:jc w:val="both"/>
        <w:rPr>
          <w:color w:val="000000"/>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___________ to___________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001-42365</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before="0" w:after="240"/>
        <w:ind w:left="0" w:right="0" w:firstLine="720"/>
        <w:jc w:val="center"/>
        <w:rPr/>
      </w:pPr>
      <w:r>
        <w:rPr/>
        <w:drawing>
          <wp:inline distT="0" distB="0" distL="0" distR="0">
            <wp:extent cx="1752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CAMP4 Therapeutics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4184" w:type="dxa"/>
        <w:jc w:val="left"/>
        <w:tblInd w:w="0" w:type="dxa"/>
        <w:tblLayout w:type="fixed"/>
        <w:tblCellMar>
          <w:top w:w="28" w:type="dxa"/>
          <w:left w:w="28" w:type="dxa"/>
          <w:bottom w:w="28" w:type="dxa"/>
          <w:right w:w="28" w:type="dxa"/>
        </w:tblCellMar>
      </w:tblPr>
      <w:tblGrid>
        <w:gridCol w:w="859"/>
        <w:gridCol w:w="753"/>
        <w:gridCol w:w="758"/>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81-1152476</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100 Talcott Avenue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201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Watertown, Massachusetts 02472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651-8867</w:t>
      </w:r>
    </w:p>
    <w:p>
      <w:pPr>
        <w:pStyle w:val="TextBody"/>
        <w:bidi w:val="0"/>
        <w:spacing w:lineRule="auto" w:line="288" w:before="0" w:after="12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97" w:type="dxa"/>
        <w:jc w:val="left"/>
        <w:tblInd w:w="0" w:type="dxa"/>
        <w:tblLayout w:type="fixed"/>
        <w:tblCellMar>
          <w:top w:w="28" w:type="dxa"/>
          <w:left w:w="28" w:type="dxa"/>
          <w:bottom w:w="28" w:type="dxa"/>
          <w:right w:w="28" w:type="dxa"/>
        </w:tblCellMar>
      </w:tblPr>
      <w:tblGrid>
        <w:gridCol w:w="1201"/>
        <w:gridCol w:w="1061"/>
        <w:gridCol w:w="1068"/>
        <w:gridCol w:w="109"/>
        <w:gridCol w:w="109"/>
        <w:gridCol w:w="109"/>
        <w:gridCol w:w="414"/>
        <w:gridCol w:w="414"/>
        <w:gridCol w:w="416"/>
        <w:gridCol w:w="109"/>
        <w:gridCol w:w="109"/>
        <w:gridCol w:w="109"/>
        <w:gridCol w:w="869"/>
        <w:gridCol w:w="869"/>
        <w:gridCol w:w="1231"/>
      </w:tblGrid>
      <w:tr>
        <w:trPr/>
        <w:tc>
          <w:tcPr>
            <w:tcW w:w="12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3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Nasdaq Global Market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As of August 12, 2026, there were 62,753,200 shares of the registrant’s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9"/>
        <w:gridCol w:w="373"/>
        <w:gridCol w:w="309"/>
        <w:gridCol w:w="109"/>
        <w:gridCol w:w="109"/>
        <w:gridCol w:w="109"/>
        <w:gridCol w:w="2699"/>
        <w:gridCol w:w="2600"/>
        <w:gridCol w:w="2607"/>
        <w:gridCol w:w="109"/>
        <w:gridCol w:w="109"/>
        <w:gridCol w:w="109"/>
        <w:gridCol w:w="149"/>
        <w:gridCol w:w="149"/>
        <w:gridCol w:w="216"/>
      </w:tblGrid>
      <w:tr>
        <w:trPr/>
        <w:tc>
          <w:tcPr>
            <w:tcW w:w="44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
              <w:r>
                <w:rPr>
                  <w:rStyle w:val="InternetLink"/>
                  <w:rFonts w:ascii="Times New Roman;serif" w:hAnsi="Times New Roman;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
              <w:r>
                <w:rPr>
                  <w:rStyle w:val="InternetLink"/>
                  <w:rFonts w:ascii="Times New Roman;serif" w:hAnsi="Times New Roman;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6">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6">
              <w:r>
                <w:rPr>
                  <w:rStyle w:val="InternetLink"/>
                  <w:rFonts w:ascii="Times New Roman;serif" w:hAnsi="Times New Roman;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6">
              <w:r>
                <w:rPr>
                  <w:rStyle w:val="InternetLink"/>
                  <w:rFonts w:ascii="Times New Roman;serif" w:hAnsi="Times New Roman;serif"/>
                  <w:b w:val="false"/>
                  <w:strike w:val="false"/>
                  <w:dstrike w:val="false"/>
                  <w:color w:val="000000"/>
                  <w:sz w:val="20"/>
                  <w:u w:val="none"/>
                  <w:effect w:val="none"/>
                </w:rPr>
                <w:t>5</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9">
              <w:r>
                <w:rPr>
                  <w:rStyle w:val="InternetLink"/>
                  <w:rFonts w:ascii="Times New Roman;serif" w:hAnsi="Times New Roman;serif"/>
                  <w:b w:val="false"/>
                  <w:color w:val="000080"/>
                  <w:sz w:val="20"/>
                  <w:u w:val="single"/>
                </w:rPr>
                <w:t xml:space="preserve">Unaudited Condensed Consolidated Balance Sheets as of </w:t>
              </w:r>
            </w:hyperlink>
            <w:hyperlink w:anchor="i59d72c4b90944a9ebb57a6999c6aaa76_19">
              <w:r>
                <w:rPr>
                  <w:rStyle w:val="InternetLink"/>
                  <w:rFonts w:ascii="Times New Roman;serif" w:hAnsi="Times New Roman;serif"/>
                  <w:b w:val="false"/>
                  <w:color w:val="000080"/>
                  <w:sz w:val="20"/>
                  <w:u w:val="single"/>
                </w:rPr>
                <w:t>June</w:t>
              </w:r>
            </w:hyperlink>
            <w:hyperlink w:anchor="i59d72c4b90944a9ebb57a6999c6aaa76_19">
              <w:r>
                <w:rPr>
                  <w:rStyle w:val="InternetLink"/>
                  <w:rFonts w:ascii="Times New Roman;serif" w:hAnsi="Times New Roman;serif"/>
                  <w:b w:val="false"/>
                  <w:color w:val="000080"/>
                  <w:sz w:val="20"/>
                  <w:u w:val="single"/>
                </w:rPr>
                <w:t xml:space="preserve"> 3</w:t>
              </w:r>
            </w:hyperlink>
            <w:hyperlink w:anchor="i59d72c4b90944a9ebb57a6999c6aaa76_19">
              <w:r>
                <w:rPr>
                  <w:rStyle w:val="InternetLink"/>
                  <w:rFonts w:ascii="Times New Roman;serif" w:hAnsi="Times New Roman;serif"/>
                  <w:b w:val="false"/>
                  <w:color w:val="000080"/>
                  <w:sz w:val="20"/>
                  <w:u w:val="single"/>
                </w:rPr>
                <w:t>0</w:t>
              </w:r>
            </w:hyperlink>
            <w:hyperlink w:anchor="i59d72c4b90944a9ebb57a6999c6aaa76_19">
              <w:r>
                <w:rPr>
                  <w:rStyle w:val="InternetLink"/>
                  <w:rFonts w:ascii="Times New Roman;serif" w:hAnsi="Times New Roman;serif"/>
                  <w:b w:val="false"/>
                  <w:color w:val="000080"/>
                  <w:sz w:val="20"/>
                  <w:u w:val="single"/>
                </w:rPr>
                <w:t>,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9">
              <w:r>
                <w:rPr>
                  <w:rStyle w:val="InternetLink"/>
                  <w:rFonts w:ascii="Times New Roman;serif" w:hAnsi="Times New Roman;serif"/>
                  <w:b w:val="false"/>
                  <w:strike w:val="false"/>
                  <w:dstrike w:val="false"/>
                  <w:color w:val="000000"/>
                  <w:sz w:val="20"/>
                  <w:u w:val="none"/>
                  <w:effect w:val="none"/>
                </w:rPr>
                <w:t>5</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22">
              <w:r>
                <w:rPr>
                  <w:rStyle w:val="InternetLink"/>
                  <w:rFonts w:ascii="Times New Roman;serif" w:hAnsi="Times New Roman;serif"/>
                  <w:b w:val="false"/>
                  <w:color w:val="000080"/>
                  <w:sz w:val="20"/>
                  <w:u w:val="single"/>
                </w:rPr>
                <w:t>Unaudited Condensed Consolidated Statements of Operations and Comprehensive Loss for the three and six months ended June 30, 202</w:t>
              </w:r>
            </w:hyperlink>
            <w:hyperlink w:anchor="i59d72c4b90944a9ebb57a6999c6aaa76_22">
              <w:r>
                <w:rPr>
                  <w:rStyle w:val="InternetLink"/>
                  <w:rFonts w:ascii="Times New Roman;serif" w:hAnsi="Times New Roman;serif"/>
                  <w:b w:val="false"/>
                  <w:color w:val="000080"/>
                  <w:sz w:val="20"/>
                  <w:u w:val="single"/>
                </w:rPr>
                <w:t>6</w:t>
              </w:r>
            </w:hyperlink>
            <w:hyperlink w:anchor="i59d72c4b90944a9ebb57a6999c6aaa76_22">
              <w:r>
                <w:rPr>
                  <w:rStyle w:val="InternetLink"/>
                  <w:rFonts w:ascii="Times New Roman;serif" w:hAnsi="Times New Roman;serif"/>
                  <w:b w:val="false"/>
                  <w:color w:val="000080"/>
                  <w:sz w:val="20"/>
                  <w:u w:val="single"/>
                </w:rPr>
                <w:t xml:space="preserve"> and 2</w:t>
              </w:r>
            </w:hyperlink>
            <w:hyperlink w:anchor="i59d72c4b90944a9ebb57a6999c6aaa76_22">
              <w:r>
                <w:rPr>
                  <w:rStyle w:val="InternetLink"/>
                  <w:rFonts w:ascii="Times New Roman;serif" w:hAnsi="Times New Roman;serif"/>
                  <w:b w:val="false"/>
                  <w:color w:val="000080"/>
                  <w:sz w:val="20"/>
                  <w:u w:val="single"/>
                </w:rPr>
                <w:t>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22">
              <w:r>
                <w:rPr>
                  <w:rStyle w:val="InternetLink"/>
                  <w:rFonts w:ascii="Times New Roman;serif" w:hAnsi="Times New Roman;serif"/>
                  <w:b w:val="false"/>
                  <w:strike w:val="false"/>
                  <w:dstrike w:val="false"/>
                  <w:color w:val="000000"/>
                  <w:sz w:val="20"/>
                  <w:u w:val="none"/>
                  <w:effect w:val="none"/>
                </w:rPr>
                <w:t>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25">
              <w:r>
                <w:rPr>
                  <w:rStyle w:val="InternetLink"/>
                  <w:rFonts w:ascii="Times New Roman;serif" w:hAnsi="Times New Roman;serif"/>
                  <w:b w:val="false"/>
                  <w:color w:val="000080"/>
                  <w:sz w:val="20"/>
                  <w:u w:val="single"/>
                </w:rPr>
                <w:t>Unaudited Condensed Consolidated Statements of Changes in Stockholders’</w:t>
              </w:r>
            </w:hyperlink>
            <w:hyperlink w:anchor="i59d72c4b90944a9ebb57a6999c6aaa76_25">
              <w:r>
                <w:rPr>
                  <w:rStyle w:val="InternetLink"/>
                  <w:rFonts w:ascii="Times New Roman;serif" w:hAnsi="Times New Roman;serif"/>
                  <w:b w:val="false"/>
                  <w:color w:val="000080"/>
                  <w:sz w:val="20"/>
                  <w:u w:val="single"/>
                </w:rPr>
                <w:t xml:space="preserve"> (Deficit)</w:t>
              </w:r>
            </w:hyperlink>
            <w:hyperlink w:anchor="i59d72c4b90944a9ebb57a6999c6aaa76_25">
              <w:r>
                <w:rPr>
                  <w:rStyle w:val="InternetLink"/>
                  <w:rFonts w:ascii="Times New Roman;serif" w:hAnsi="Times New Roman;serif"/>
                  <w:b w:val="false"/>
                  <w:color w:val="000080"/>
                  <w:sz w:val="20"/>
                  <w:u w:val="single"/>
                </w:rPr>
                <w:t xml:space="preserve"> Equity for the three</w:t>
              </w:r>
            </w:hyperlink>
            <w:hyperlink w:anchor="i59d72c4b90944a9ebb57a6999c6aaa76_25">
              <w:r>
                <w:rPr>
                  <w:rStyle w:val="InternetLink"/>
                  <w:rFonts w:ascii="Times New Roman;serif" w:hAnsi="Times New Roman;serif"/>
                  <w:b w:val="false"/>
                  <w:color w:val="000080"/>
                  <w:sz w:val="20"/>
                  <w:u w:val="single"/>
                </w:rPr>
                <w:t xml:space="preserve"> and six</w:t>
              </w:r>
            </w:hyperlink>
            <w:hyperlink w:anchor="i59d72c4b90944a9ebb57a6999c6aaa76_25">
              <w:r>
                <w:rPr>
                  <w:rStyle w:val="InternetLink"/>
                  <w:rFonts w:ascii="Times New Roman;serif" w:hAnsi="Times New Roman;serif"/>
                  <w:b w:val="false"/>
                  <w:color w:val="000080"/>
                  <w:sz w:val="20"/>
                  <w:u w:val="single"/>
                </w:rPr>
                <w:t xml:space="preserve"> months ended</w:t>
              </w:r>
            </w:hyperlink>
            <w:hyperlink w:anchor="i59d72c4b90944a9ebb57a6999c6aaa76_25">
              <w:r>
                <w:rPr>
                  <w:rStyle w:val="InternetLink"/>
                  <w:color w:val="0E32E1"/>
                  <w:u w:val="single"/>
                </w:rPr>
                <w:t xml:space="preserve"> </w:t>
              </w:r>
            </w:hyperlink>
            <w:r>
              <w:rPr>
                <w:rFonts w:ascii="Times New Roman;serif" w:hAnsi="Times New Roman;serif"/>
                <w:b w:val="false"/>
                <w:color w:val="0E32E1"/>
                <w:sz w:val="20"/>
                <w:u w:val="single"/>
              </w:rPr>
              <w:t>June</w:t>
            </w:r>
            <w:hyperlink w:anchor="i59d72c4b90944a9ebb57a6999c6aaa76_25">
              <w:r>
                <w:rPr>
                  <w:rStyle w:val="InternetLink"/>
                  <w:rFonts w:ascii="Times New Roman;serif" w:hAnsi="Times New Roman;serif"/>
                  <w:b w:val="false"/>
                  <w:color w:val="000080"/>
                  <w:sz w:val="20"/>
                  <w:u w:val="single"/>
                </w:rPr>
                <w:t xml:space="preserve"> 3</w:t>
              </w:r>
            </w:hyperlink>
            <w:hyperlink w:anchor="i59d72c4b90944a9ebb57a6999c6aaa76_25">
              <w:r>
                <w:rPr>
                  <w:rStyle w:val="InternetLink"/>
                  <w:rFonts w:ascii="Times New Roman;serif" w:hAnsi="Times New Roman;serif"/>
                  <w:b w:val="false"/>
                  <w:color w:val="000080"/>
                  <w:sz w:val="20"/>
                  <w:u w:val="single"/>
                </w:rPr>
                <w:t>0</w:t>
              </w:r>
            </w:hyperlink>
            <w:hyperlink w:anchor="i59d72c4b90944a9ebb57a6999c6aaa76_25">
              <w:r>
                <w:rPr>
                  <w:rStyle w:val="InternetLink"/>
                  <w:rFonts w:ascii="Times New Roman;serif" w:hAnsi="Times New Roman;serif"/>
                  <w:b w:val="false"/>
                  <w:color w:val="0000FF"/>
                  <w:sz w:val="20"/>
                  <w:u w:val="single"/>
                </w:rPr>
                <w:t>, 2026 and 2025</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25">
              <w:r>
                <w:rPr>
                  <w:rStyle w:val="InternetLink"/>
                  <w:rFonts w:ascii="Times New Roman;serif" w:hAnsi="Times New Roman;serif"/>
                  <w:b w:val="false"/>
                  <w:strike w:val="false"/>
                  <w:dstrike w:val="false"/>
                  <w:color w:val="000000"/>
                  <w:sz w:val="20"/>
                  <w:u w:val="none"/>
                  <w:effect w:val="none"/>
                </w:rPr>
                <w:t>7</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28">
              <w:r>
                <w:rPr>
                  <w:rStyle w:val="InternetLink"/>
                  <w:rFonts w:ascii="Times New Roman;serif" w:hAnsi="Times New Roman;serif"/>
                  <w:b w:val="false"/>
                  <w:color w:val="000080"/>
                  <w:sz w:val="20"/>
                  <w:u w:val="single"/>
                </w:rPr>
                <w:t>Unaudited Condensed Consolidated Statements of Cash Flows for the six months ended June 30, 202</w:t>
              </w:r>
            </w:hyperlink>
            <w:hyperlink w:anchor="i59d72c4b90944a9ebb57a6999c6aaa76_28">
              <w:r>
                <w:rPr>
                  <w:rStyle w:val="InternetLink"/>
                  <w:rFonts w:ascii="Times New Roman;serif" w:hAnsi="Times New Roman;serif"/>
                  <w:b w:val="false"/>
                  <w:color w:val="000080"/>
                  <w:sz w:val="20"/>
                  <w:u w:val="single"/>
                </w:rPr>
                <w:t>6</w:t>
              </w:r>
            </w:hyperlink>
            <w:hyperlink w:anchor="i59d72c4b90944a9ebb57a6999c6aaa76_28">
              <w:r>
                <w:rPr>
                  <w:rStyle w:val="InternetLink"/>
                  <w:rFonts w:ascii="Times New Roman;serif" w:hAnsi="Times New Roman;serif"/>
                  <w:b w:val="false"/>
                  <w:color w:val="000080"/>
                  <w:sz w:val="20"/>
                  <w:u w:val="single"/>
                </w:rPr>
                <w:t xml:space="preserve"> and 20</w:t>
              </w:r>
            </w:hyperlink>
            <w:hyperlink w:anchor="i59d72c4b90944a9ebb57a6999c6aaa76_28">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28">
              <w:r>
                <w:rPr>
                  <w:rStyle w:val="InternetLink"/>
                  <w:rFonts w:ascii="Times New Roman;serif" w:hAnsi="Times New Roman;serif"/>
                  <w:b w:val="false"/>
                  <w:strike w:val="false"/>
                  <w:dstrike w:val="false"/>
                  <w:color w:val="000000"/>
                  <w:sz w:val="20"/>
                  <w:u w:val="none"/>
                  <w:effect w:val="none"/>
                </w:rPr>
                <w:t>8</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31">
              <w:r>
                <w:rPr>
                  <w:rStyle w:val="InternetLink"/>
                  <w:rFonts w:ascii="Times New Roman;serif" w:hAnsi="Times New Roman;serif"/>
                  <w:b w:val="false"/>
                  <w:strike w:val="false"/>
                  <w:dstrike w:val="false"/>
                  <w:color w:val="000000"/>
                  <w:sz w:val="20"/>
                  <w:u w:val="none"/>
                  <w:effect w:val="none"/>
                </w:rPr>
                <w:t>9</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8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85">
              <w:r>
                <w:rPr>
                  <w:rStyle w:val="InternetLink"/>
                  <w:rFonts w:ascii="Times New Roman;serif" w:hAnsi="Times New Roman;serif"/>
                  <w:b w:val="false"/>
                  <w:strike w:val="false"/>
                  <w:dstrike w:val="false"/>
                  <w:color w:val="000000"/>
                  <w:sz w:val="20"/>
                  <w:u w:val="none"/>
                  <w:effect w:val="none"/>
                </w:rPr>
                <w:t>23</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15">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15">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15">
              <w:r>
                <w:rPr>
                  <w:rStyle w:val="InternetLink"/>
                  <w:rFonts w:ascii="Times New Roman;serif" w:hAnsi="Times New Roman;serif"/>
                  <w:b w:val="false"/>
                  <w:strike w:val="false"/>
                  <w:dstrike w:val="false"/>
                  <w:color w:val="000000"/>
                  <w:sz w:val="20"/>
                  <w:u w:val="none"/>
                  <w:effect w:val="none"/>
                </w:rPr>
                <w:t>32</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18">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18">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18">
              <w:r>
                <w:rPr>
                  <w:rStyle w:val="InternetLink"/>
                  <w:rFonts w:ascii="Times New Roman;serif" w:hAnsi="Times New Roman;serif"/>
                  <w:b w:val="false"/>
                  <w:strike w:val="false"/>
                  <w:dstrike w:val="false"/>
                  <w:color w:val="000000"/>
                  <w:sz w:val="20"/>
                  <w:u w:val="none"/>
                  <w:effect w:val="none"/>
                </w:rPr>
                <w:t>32</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21">
              <w:r>
                <w:rPr>
                  <w:rStyle w:val="InternetLink"/>
                  <w:rFonts w:ascii="Times New Roman;serif" w:hAnsi="Times New Roman;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21">
              <w:r>
                <w:rPr>
                  <w:rStyle w:val="InternetLink"/>
                  <w:rFonts w:ascii="Times New Roman;serif" w:hAnsi="Times New Roman;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21">
              <w:r>
                <w:rPr>
                  <w:rStyle w:val="InternetLink"/>
                  <w:rFonts w:ascii="Times New Roman;serif" w:hAnsi="Times New Roman;serif"/>
                  <w:b w:val="false"/>
                  <w:strike w:val="false"/>
                  <w:dstrike w:val="false"/>
                  <w:color w:val="000000"/>
                  <w:sz w:val="20"/>
                  <w:u w:val="none"/>
                  <w:effect w:val="none"/>
                </w:rPr>
                <w:t>33</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24">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24">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24">
              <w:r>
                <w:rPr>
                  <w:rStyle w:val="InternetLink"/>
                  <w:rFonts w:ascii="Times New Roman;serif" w:hAnsi="Times New Roman;serif"/>
                  <w:b w:val="false"/>
                  <w:strike w:val="false"/>
                  <w:dstrike w:val="false"/>
                  <w:color w:val="000000"/>
                  <w:sz w:val="20"/>
                  <w:u w:val="none"/>
                  <w:effect w:val="none"/>
                </w:rPr>
                <w:t>33</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27">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27">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27">
              <w:r>
                <w:rPr>
                  <w:rStyle w:val="InternetLink"/>
                  <w:rFonts w:ascii="Times New Roman;serif" w:hAnsi="Times New Roman;serif"/>
                  <w:b w:val="false"/>
                  <w:strike w:val="false"/>
                  <w:dstrike w:val="false"/>
                  <w:color w:val="000000"/>
                  <w:sz w:val="20"/>
                  <w:u w:val="none"/>
                  <w:effect w:val="none"/>
                </w:rPr>
                <w:t>33</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30">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0">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30">
              <w:r>
                <w:rPr>
                  <w:rStyle w:val="InternetLink"/>
                  <w:rFonts w:ascii="Times New Roman;serif" w:hAnsi="Times New Roman;serif"/>
                  <w:b w:val="false"/>
                  <w:strike w:val="false"/>
                  <w:dstrike w:val="false"/>
                  <w:color w:val="000000"/>
                  <w:sz w:val="20"/>
                  <w:u w:val="none"/>
                  <w:effect w:val="none"/>
                </w:rPr>
                <w:t>36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3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3">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33">
              <w:r>
                <w:rPr>
                  <w:rStyle w:val="InternetLink"/>
                  <w:rFonts w:ascii="Times New Roman;serif" w:hAnsi="Times New Roman;serif"/>
                  <w:b w:val="false"/>
                  <w:strike w:val="false"/>
                  <w:dstrike w:val="false"/>
                  <w:color w:val="000000"/>
                  <w:sz w:val="20"/>
                  <w:u w:val="none"/>
                  <w:effect w:val="none"/>
                </w:rPr>
                <w:t>36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3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6">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36">
              <w:r>
                <w:rPr>
                  <w:rStyle w:val="InternetLink"/>
                  <w:rFonts w:ascii="Times New Roman;serif" w:hAnsi="Times New Roman;serif"/>
                  <w:b w:val="false"/>
                  <w:strike w:val="false"/>
                  <w:dstrike w:val="false"/>
                  <w:color w:val="000000"/>
                  <w:sz w:val="20"/>
                  <w:u w:val="none"/>
                  <w:effect w:val="none"/>
                </w:rPr>
                <w:t>36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39">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39">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39">
              <w:r>
                <w:rPr>
                  <w:rStyle w:val="InternetLink"/>
                  <w:rFonts w:ascii="Times New Roman;serif" w:hAnsi="Times New Roman;serif"/>
                  <w:b w:val="false"/>
                  <w:strike w:val="false"/>
                  <w:dstrike w:val="false"/>
                  <w:color w:val="000000"/>
                  <w:sz w:val="20"/>
                  <w:u w:val="none"/>
                  <w:effect w:val="none"/>
                </w:rPr>
                <w:t>36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45">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d72c4b90944a9ebb57a6999c6aaa76_145">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45">
              <w:r>
                <w:rPr>
                  <w:rStyle w:val="InternetLink"/>
                  <w:rFonts w:ascii="Times New Roman;serif" w:hAnsi="Times New Roman;serif"/>
                  <w:b w:val="false"/>
                  <w:strike w:val="false"/>
                  <w:dstrike w:val="false"/>
                  <w:color w:val="000000"/>
                  <w:sz w:val="20"/>
                  <w:u w:val="none"/>
                  <w:effect w:val="none"/>
                </w:rPr>
                <w:t>36</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48">
              <w:r>
                <w:rPr>
                  <w:rStyle w:val="InternetLink"/>
                  <w:rFonts w:ascii="Times New Roman;serif" w:hAnsi="Times New Roman;serif"/>
                  <w:b w:val="false"/>
                  <w:color w:val="0000FF"/>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48">
              <w:r>
                <w:rPr>
                  <w:rStyle w:val="InternetLink"/>
                  <w:rFonts w:ascii="Times New Roman;serif" w:hAnsi="Times New Roman;serif"/>
                  <w:b w:val="false"/>
                  <w:strike w:val="false"/>
                  <w:dstrike w:val="false"/>
                  <w:color w:val="000000"/>
                  <w:sz w:val="20"/>
                  <w:u w:val="none"/>
                  <w:effect w:val="none"/>
                </w:rPr>
                <w:t>37</w:t>
              </w:r>
            </w:hyperlink>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d72c4b90944a9ebb57a6999c6aaa76_151">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d72c4b90944a9ebb57a6999c6aaa76_151">
              <w:r>
                <w:rPr>
                  <w:rStyle w:val="InternetLink"/>
                  <w:rFonts w:ascii="Times New Roman;serif" w:hAnsi="Times New Roman;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 AND INDUSTRY DATA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that involve substantial risks and uncertainties because they relate to events and depend on circumstances that may or may not occur in the future. All statements other than statements of historical fact contained in this Quarterly Report, including statements regarding our strategy, future operations, future financial position, prospects, plans, objectives of management and expected growth, are forward-looking statements. These statements are based on our current beliefs, expectations and assumptions regarding our intentions, beliefs or current expectations concerning, among other things, the future of our business, future plans and strategies, our operational results and other future conditions.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initiation, timing, progress, results and costs of our research and development (“R&amp;D”) programs and of our current and future preclinical studies and clinical trials of our product candidates, including statements regarding the timing of initiation and completion of studies or trials and related preparatory work, as well as the period during which the results of the trials are expected to become available;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expected timing and outcome of regulatory reviews of our clinical trial applications, initiation of planned clinical trials and timing of expected clinical results for our current and future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of any submissions of filings for regulatory approval of, and our ability to obtain and maintain regulatory approvals for, any of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obtain and maintain the benefits of regulatory designations, including orphan drug designation, for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identify patients with the diseases treated by our product candidates, and to enroll patients in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expectations regarding the size of the patient populations, market acceptance and opportunity for and clinical utility of our product candidates, if approved for commercial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reliance on third party manufacturing partners to comply with significant regulations with respect to manufacturing our products;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third-party manufacturing partners to maintain sufficient manufacturing capacity for clinical supply of our product candidates and, if any product candidate is approved, commercial supply of such products, and the costs and timing thereof;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expectations regarding the scope of any approved indication for any product candidate;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successfully commercialize our product candidates, if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leverage our RAP Platform to identify and develop future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estimates of our expenses, ongoing losses, future revenue, capital requirements, and our need for or ability to obtain additional funding before we can expect to generate any revenue from product sales;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establish or maintain strategic collaborations or arrangements, including potential business development opportunities and potential licensing partnerships, and our ability to attract collaborators with development, regulatory and commercialization expertise;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and amount of any milestone, royalty or other payments we may make or receive under our existing or future license or strategic collaboration agreements;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identify, recruit and retain key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reliance upon intellectual property licensed from third parties and our ability to obtain such licenses on commercially reasonable terms or at all;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protect and enforce our intellectual property position for our product candidates, and the scope of such protection;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sufficiency of our existing cash and cash equivalents to fund our future operating expenses and capital expenditure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competitive position and the development of and projections relating to our competitors or our industry;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estimates regarding future expenses and needs for additional financing;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impact of laws and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effect of changes in international trade policies and general economic, industry, geopolitical and market conditions, such as uncertainties related to military conflict or war, tariffs (including tariffs that have been or may in the future be imposed by the United States or other countries), sanctions, trade protection measures or other trade barriers, inflation and financial institution instability or pandemic or epidemic disease outbreaks, many of which are beyond our control, as well as the value of our common stock and our ability to access capital markets;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expectations regarding the time during which we will be an emerging growth company and smaller reporting company under the Jumpstart Our Business Startups Act of 2012 (the “JOBS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Any forward-looking statement that we make in this Quarterly Report speaks only as of the date of such statement.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Comparisons of results for current and any prior periods are not intended to express any future trends or indications of future performance, unless specifically expressed as such, and should only be viewed as historical data. You should, therefore, not rely on these forward-looking statements as representing our views as of any date subsequent to the date of this Quarterly Report.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market and industry data contained in this Quarterly Report,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Quarterly Report is reliable, and we are responsible for the accuracy of such information, we have not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factors, including those described in Part II, Item 1A. “Risk Factors” in this Quarterly Report. These and other factors could cause our future performance to differ materially from our assumptions and estimates.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before="0" w:after="0"/>
        <w:jc w:val="left"/>
        <w:rPr/>
      </w:pPr>
      <w:r>
        <w:rPr/>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CAMP4,” “RAP Platform,” and our other registered or common law trademarks, trade names or service marks appearing in this Quarterly Report are the property of CAMP4 Therapeutics Corporation and are registered as trademarks in the United States and other countries. This Quarterly Report also contains references to trademarks belonging to other entities. Solely for convenience, trademarks and trade names referred to in this Quarterly Report,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96"/>
        <w:gridCol w:w="2400"/>
        <w:gridCol w:w="2422"/>
        <w:gridCol w:w="196"/>
        <w:gridCol w:w="646"/>
        <w:gridCol w:w="109"/>
        <w:gridCol w:w="109"/>
        <w:gridCol w:w="109"/>
        <w:gridCol w:w="109"/>
        <w:gridCol w:w="199"/>
        <w:gridCol w:w="751"/>
        <w:gridCol w:w="159"/>
      </w:tblGrid>
      <w:tr>
        <w:trPr/>
        <w:tc>
          <w:tcPr>
            <w:tcW w:w="299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114,095 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net of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93,428 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117,808 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15,514 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tranche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70,104 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4)</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per share, 175,000,000 shares authorized as of June 30, 2026 and December 31, 2025, 51,926,988 and 51,902,614 shares issued and outstanding as of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(292,156)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47,704 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93,428 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117,808 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1799"/>
        <w:gridCol w:w="1486"/>
        <w:gridCol w:w="1499"/>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57"/>
      </w:tblGrid>
      <w:tr>
        <w:trPr/>
        <w:tc>
          <w:tcPr>
            <w:tcW w:w="179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(26,128)</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57,929,662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20,159,666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20,155,161</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6" w:space="0" w:color="FFFFFF"/>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Stockholders’ (Deficit)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1367"/>
        <w:gridCol w:w="1152"/>
        <w:gridCol w:w="1156"/>
        <w:gridCol w:w="304"/>
        <w:gridCol w:w="304"/>
        <w:gridCol w:w="308"/>
        <w:gridCol w:w="109"/>
        <w:gridCol w:w="109"/>
        <w:gridCol w:w="109"/>
        <w:gridCol w:w="248"/>
        <w:gridCol w:w="305"/>
        <w:gridCol w:w="138"/>
        <w:gridCol w:w="109"/>
        <w:gridCol w:w="109"/>
        <w:gridCol w:w="109"/>
        <w:gridCol w:w="249"/>
        <w:gridCol w:w="939"/>
        <w:gridCol w:w="138"/>
        <w:gridCol w:w="109"/>
        <w:gridCol w:w="109"/>
        <w:gridCol w:w="109"/>
        <w:gridCol w:w="196"/>
        <w:gridCol w:w="795"/>
        <w:gridCol w:w="109"/>
        <w:gridCol w:w="109"/>
        <w:gridCol w:w="109"/>
        <w:gridCol w:w="109"/>
        <w:gridCol w:w="232"/>
        <w:gridCol w:w="767"/>
        <w:gridCol w:w="190"/>
      </w:tblGrid>
      <w:tr>
        <w:trPr/>
        <w:tc>
          <w:tcPr>
            <w:tcW w:w="136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 (deficit)</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51,902,614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339,854 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(292,156)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47,704 </w:t>
            </w:r>
          </w:p>
        </w:tc>
        <w:tc>
          <w:tcPr>
            <w:tcW w:w="19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(18,331)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51,925,800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341,383 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(310,487)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30,902 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91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51,926,988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343,318 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(344,017)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32" w:type="dxa"/>
        <w:jc w:val="left"/>
        <w:tblInd w:w="0" w:type="dxa"/>
        <w:tblLayout w:type="fixed"/>
        <w:tblCellMar>
          <w:top w:w="28" w:type="dxa"/>
          <w:left w:w="28" w:type="dxa"/>
          <w:bottom w:w="28" w:type="dxa"/>
          <w:right w:w="28" w:type="dxa"/>
        </w:tblCellMar>
      </w:tblPr>
      <w:tblGrid>
        <w:gridCol w:w="933"/>
        <w:gridCol w:w="822"/>
        <w:gridCol w:w="825"/>
        <w:gridCol w:w="304"/>
        <w:gridCol w:w="304"/>
        <w:gridCol w:w="308"/>
        <w:gridCol w:w="109"/>
        <w:gridCol w:w="109"/>
        <w:gridCol w:w="109"/>
        <w:gridCol w:w="248"/>
        <w:gridCol w:w="305"/>
        <w:gridCol w:w="138"/>
        <w:gridCol w:w="109"/>
        <w:gridCol w:w="109"/>
        <w:gridCol w:w="109"/>
        <w:gridCol w:w="268"/>
        <w:gridCol w:w="1008"/>
        <w:gridCol w:w="149"/>
        <w:gridCol w:w="109"/>
        <w:gridCol w:w="109"/>
        <w:gridCol w:w="109"/>
        <w:gridCol w:w="196"/>
        <w:gridCol w:w="811"/>
        <w:gridCol w:w="109"/>
        <w:gridCol w:w="109"/>
        <w:gridCol w:w="109"/>
        <w:gridCol w:w="109"/>
        <w:gridCol w:w="215"/>
        <w:gridCol w:w="710"/>
        <w:gridCol w:w="171"/>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20,145,129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274,895 </w:t>
            </w:r>
          </w:p>
        </w:tc>
        <w:tc>
          <w:tcPr>
            <w:tcW w:w="1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(211,753)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63,144 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20,156,796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275,756 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51,572 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20,161,073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276,758 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(236,773)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39,987 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89"/>
        <w:gridCol w:w="2407"/>
        <w:gridCol w:w="2423"/>
        <w:gridCol w:w="211"/>
        <w:gridCol w:w="786"/>
        <w:gridCol w:w="109"/>
        <w:gridCol w:w="109"/>
        <w:gridCol w:w="109"/>
        <w:gridCol w:w="109"/>
        <w:gridCol w:w="211"/>
        <w:gridCol w:w="786"/>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right-of-use asset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issuance of common stock under employee stock purchase plan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 converted to fixed asset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of operating lease obligations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 accounts payable and accrued expenses</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    Basis of Presentation and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have been prepared in conformity with accounting principles generally accepted in the United States of America (“U.S. GAAP”) and applicable rules and regulations of the Securities and Exchange Commission for interim financial reporting, consistent in all material respects with those applied in the Company’s Annual Report on Form 10-K for the year ended December 31, 2025 (“2025 Form 10-K”) and, in the opinion of management, reflect all adjustments, which include only normal recurring adjustments, necessary to present fairly the Company’s consolidated financial position, consolidated results of operations, and consolidated cash flows for the interim periods presented. Any reference in these notes to applicable guidance is meant to refer to the authoritative standards of U.S. GAAP as found in the Accounting Standards Codification (“ASC”) and Accounting Standards Updates (“ASU”) of the Financial Accounting Standards Board (“FASB”). This report should be read in conjunction with the audited consolidated financial statements in the Company’s 2025 Form 10-K.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CAMP4 Therapeutics Corporation and its wholly-owned subsidiary, CAMP4 Therapeutics Pty Ltd (together, the “Company”). All intercompany balances and transactions have been eliminated in consolidation. The significant accounting policies used in the preparation of these condensed consolidated financial statements for the three and six months ended June 30, 2026 are consistent with those described in the Company’s 2025 Form 10-K. The results of operations for the three and six months ended June 30, 2026 are not necessarily indicative of the operating results to be expected for the full fiscal year or future operating periods.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On September 9, 2025, the Company entered into a Securities Purchase Agreement (the “Purchase Agreement”) with investors pursuant to which the Company agreed to sell certain securities, in up to two closings in a private placement transaction (the “Private Placement”). The initial closing of the Private Placement occurred on September 11, 2025 (the “Initial Closing”). At the Initial Closing, the Company issued 26,717,414 shares of the Company’s common stock and 6,003,758</w:t>
      </w:r>
      <w:r>
        <w:rPr>
          <w:color w:val="0094FF"/>
        </w:rPr>
        <w:t xml:space="preserve"> </w:t>
      </w:r>
      <w:r>
        <w:rPr>
          <w:rFonts w:ascii="Times New Roman;serif" w:hAnsi="Times New Roman;serif"/>
          <w:b w:val="false"/>
          <w:color w:val="000000"/>
          <w:sz w:val="20"/>
        </w:rPr>
        <w:t>pre-funded warrants for net cash proceeds of $46.7 million, after deducting $3.3 million in issuance costs and legal fees (see Notes 2, 6 and 7).</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Underwritten Offering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entered into an underwriting agreement (the “Underwriting Agreement”) with Leerink Partners LLC (“Leerink Partners”) relating to an offering of shares of the Company's common stock (the “Underwritten Offering”). The closing of the Underwritten Offering occurred on December 19, 2025. At the closing, the Company issued 5,000,000 shares of the Company’s common stock for net cash proceeds of $28.1 million, after deducting $1.9 million in issuance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June 30, 2026, the Company had approximately $86.4 million in cash and cash equivalents and working capital of approximately $70.9 million. The Company has a relatively limited operating history, and the revenue and income potential of the Company’s business and market are unproven. The Company has experienced net losses and negative cash flows from operations since its inception and, as of June 30, 2026, the Company had an accumulated deficit of $344.0 million. During the six months ended June 30, 2026, the Company incurred a net loss of $51.9 million and had negative cash flows from operating activities of </w:t>
      </w:r>
      <w:r>
        <w:rPr>
          <w:rFonts w:ascii="Times New Roman;serif" w:hAnsi="Times New Roman;serif"/>
          <w:b w:val="false"/>
          <w:color w:val="000000"/>
          <w:sz w:val="20"/>
          <w:shd w:fill="FFFFFF" w:val="clear"/>
        </w:rPr>
        <w:t>$23.7 million.</w:t>
      </w:r>
      <w:r>
        <w:rPr>
          <w:color w:val="000000"/>
        </w:rPr>
        <w:t xml:space="preserve"> </w:t>
      </w:r>
      <w:r>
        <w:rPr>
          <w:rFonts w:ascii="Times New Roman;serif" w:hAnsi="Times New Roman;serif"/>
          <w:b w:val="false"/>
          <w:color w:val="000000"/>
          <w:sz w:val="20"/>
        </w:rPr>
        <w:t>The Company will continue to incur significant costs and expenses related to its ongoing operations until it successfully develops, obtains regulatory approval for and gains market acceptance of a product candidate and achieves revenues adequate to support the Company’s operations.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From inception to June 30, 2026, the Company has funded its operations primarily with proceeds from the sale of convertible preferred stock and common stock, including the Underwritten Offering, the Initial Closing of the Private Placement, and its initial public offering </w:t>
      </w:r>
      <w:r>
        <w:rPr>
          <w:rFonts w:ascii="Times New Roman;serif" w:hAnsi="Times New Roman;serif"/>
          <w:b w:val="false"/>
          <w:color w:val="000000"/>
          <w:sz w:val="20"/>
        </w:rPr>
        <w:t>(“</w:t>
      </w:r>
      <w:r>
        <w:rPr>
          <w:rFonts w:ascii="Times New Roman;serif" w:hAnsi="Times New Roman;serif"/>
          <w:b w:val="false"/>
          <w:color w:val="000000"/>
          <w:sz w:val="20"/>
          <w:shd w:fill="FFFFFF" w:val="clear"/>
        </w:rPr>
        <w:t>IPO</w:t>
      </w:r>
      <w:r>
        <w:rPr>
          <w:color w:val="000000"/>
        </w:rPr>
        <w:t>”</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 as well as through revenues from its license and collaboration agreements. The Company expects that its cash and cash equivalents as of June 30, 2026 will enable it to fund its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expenses and capital expenditure requirements for at least 12 months from the date these condensed consolidated financial statements are issued. This evaluation is based on relevant conditions and events that are known and reasonably knowable at the date that the consolidated financial statements are issued. To the extent these conditions or events change, the Company could deplete its available capital resources sooner than it currently expects.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estimates, assumptions, and judgments that affect the reported amounts of assets, liabilities, expenses and related disclosures in the accompanying notes. The Company bases its estimates, assumptions, and judgments on historical experience when available and on various factors that it believes to be reasonable under the circumstances as of the date of the accompanying condensed consolidated financial statements, including revenue recognition, stock-based compensation expense, accrued expenses, research and development expenses and related prepaid and accrued expenses, derivative tranche liability,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condensed consolidated financial statements under different assumptions or conditions.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operating leases, the Company is required to maintain security deposits, which were issued in the form of letters of credit with a bank. As of June 30, 2026 and December 31, 2025, the Company held cash in this amount in a separate restricted bank account as collateral for the letters of credit. As of June 30, 2026 and December 31, 2025, the Company maintained $1.6 million and $2.2 million of restricted cash, respectively. Of the $1.6 million held as of June 30, 2026, $0.7 million is classified as short-term as the related restrictions are expected to lapse within the next 12 months.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condensed consolidated balance sheets to the corresponding amounts shown in the condensed consolidated statements of cash flows (in thousands):</w:t>
      </w:r>
    </w:p>
    <w:tbl>
      <w:tblPr>
        <w:tblW w:w="6548" w:type="dxa"/>
        <w:jc w:val="left"/>
        <w:tblInd w:w="0" w:type="dxa"/>
        <w:tblLayout w:type="fixed"/>
        <w:tblCellMar>
          <w:top w:w="28" w:type="dxa"/>
          <w:left w:w="28" w:type="dxa"/>
          <w:bottom w:w="28" w:type="dxa"/>
          <w:right w:w="28" w:type="dxa"/>
        </w:tblCellMar>
      </w:tblPr>
      <w:tblGrid>
        <w:gridCol w:w="1445"/>
        <w:gridCol w:w="1268"/>
        <w:gridCol w:w="1276"/>
        <w:gridCol w:w="211"/>
        <w:gridCol w:w="721"/>
        <w:gridCol w:w="109"/>
        <w:gridCol w:w="109"/>
        <w:gridCol w:w="109"/>
        <w:gridCol w:w="109"/>
        <w:gridCol w:w="211"/>
        <w:gridCol w:w="82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109,517 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88,022 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111,757 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Derivative Tranche Liability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Private Placement includes a right provided to the participating investors to purchase the Company’s securities in two tranches. The second tranche was determined to be a freestanding instrument and accounted for as derivative tranche liability within the condensed consolidated balance sheet. The derivative tranche liability was recorded at its fair value on issuance and is subsequently remeasured at the end of each reporting period, with non-cash changes in fair value recorded in the condensed consolidated statement of operations until settlement. Subsequent to June 30, 2026, the derivative tranche liability was settled on August 3, 2026 in connection with the Second Closing. Refer to Note 13, “Subsequent Events,” for further discussion.</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For public business entities, the guidance is effective for interim and annual periods beginning after December 15, 2026. Early adoption is permitted for annual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statements that have not yet been issued or made available for issuance. The guidance may be applied on a prospective basis or retrospectively for all prior periods presented in the financial statements. The Company is currently evaluating the impact that this guidance may have on its consolidated financial statements.</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Financial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financial asset instruments carried at fair value on a recurring basis as of June 30, 2026 and December 31, 2025 (in thousands) in accordance with the ASC 820 hierarchy.</w:t>
      </w:r>
    </w:p>
    <w:tbl>
      <w:tblPr>
        <w:tblW w:w="6075" w:type="dxa"/>
        <w:jc w:val="left"/>
        <w:tblInd w:w="0" w:type="dxa"/>
        <w:tblLayout w:type="fixed"/>
        <w:tblCellMar>
          <w:top w:w="28" w:type="dxa"/>
          <w:left w:w="28" w:type="dxa"/>
          <w:bottom w:w="28" w:type="dxa"/>
          <w:right w:w="28" w:type="dxa"/>
        </w:tblCellMar>
      </w:tblPr>
      <w:tblGrid>
        <w:gridCol w:w="547"/>
        <w:gridCol w:w="482"/>
        <w:gridCol w:w="486"/>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82,602 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85" w:type="dxa"/>
        <w:jc w:val="left"/>
        <w:tblInd w:w="0" w:type="dxa"/>
        <w:tblLayout w:type="fixed"/>
        <w:tblCellMar>
          <w:top w:w="28" w:type="dxa"/>
          <w:left w:w="28" w:type="dxa"/>
          <w:bottom w:w="28" w:type="dxa"/>
          <w:right w:w="28" w:type="dxa"/>
        </w:tblCellMar>
      </w:tblPr>
      <w:tblGrid>
        <w:gridCol w:w="547"/>
        <w:gridCol w:w="482"/>
        <w:gridCol w:w="486"/>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106,934 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Derivative Tranche Liability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derivative tranche liability (see Note 6) carried at fair value on a recurring basis as of June 30, 2026 and December 31, 2025 (in thousands) and in accordance with the ASC 820 hierarchy and was based on significant inputs not observable in the market, which represents a Level 3 measurement within the fair value hierarchy. </w:t>
      </w:r>
    </w:p>
    <w:tbl>
      <w:tblPr>
        <w:tblW w:w="6885" w:type="dxa"/>
        <w:jc w:val="left"/>
        <w:tblInd w:w="0" w:type="dxa"/>
        <w:tblLayout w:type="fixed"/>
        <w:tblCellMar>
          <w:top w:w="28" w:type="dxa"/>
          <w:left w:w="28" w:type="dxa"/>
          <w:bottom w:w="28" w:type="dxa"/>
          <w:right w:w="28" w:type="dxa"/>
        </w:tblCellMar>
      </w:tblPr>
      <w:tblGrid>
        <w:gridCol w:w="842"/>
        <w:gridCol w:w="739"/>
        <w:gridCol w:w="744"/>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tranche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tbl>
      <w:tblPr>
        <w:tblW w:w="6885" w:type="dxa"/>
        <w:jc w:val="left"/>
        <w:tblInd w:w="0" w:type="dxa"/>
        <w:tblLayout w:type="fixed"/>
        <w:tblCellMar>
          <w:top w:w="28" w:type="dxa"/>
          <w:left w:w="28" w:type="dxa"/>
          <w:bottom w:w="28" w:type="dxa"/>
          <w:right w:w="28" w:type="dxa"/>
        </w:tblCellMar>
      </w:tblPr>
      <w:tblGrid>
        <w:gridCol w:w="842"/>
        <w:gridCol w:w="739"/>
        <w:gridCol w:w="744"/>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tranche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derivative tranche liability is valued using a Monte Carlo simulation model which uses certain assumptions, including annual volatility. The range of volatilities of comparable public companies utilized was 38.4% - 141.4% as of June 30, 2026. The volatility utilized in the Monte Carlo option-pricing model was determined using the 75th percentile. The following table presents the assumptions used to determine the fair value of the derivative tranche liability as of June 30, 2026 and as of December 31, 2025:</w:t>
      </w:r>
    </w:p>
    <w:tbl>
      <w:tblPr>
        <w:tblW w:w="6254" w:type="dxa"/>
        <w:jc w:val="left"/>
        <w:tblInd w:w="0" w:type="dxa"/>
        <w:tblLayout w:type="fixed"/>
        <w:tblCellMar>
          <w:top w:w="28" w:type="dxa"/>
          <w:left w:w="28" w:type="dxa"/>
          <w:bottom w:w="28" w:type="dxa"/>
          <w:right w:w="28" w:type="dxa"/>
        </w:tblCellMar>
      </w:tblPr>
      <w:tblGrid>
        <w:gridCol w:w="1377"/>
        <w:gridCol w:w="1207"/>
        <w:gridCol w:w="1211"/>
        <w:gridCol w:w="211"/>
        <w:gridCol w:w="511"/>
        <w:gridCol w:w="271"/>
        <w:gridCol w:w="109"/>
        <w:gridCol w:w="109"/>
        <w:gridCol w:w="109"/>
        <w:gridCol w:w="231"/>
        <w:gridCol w:w="561"/>
        <w:gridCol w:w="347"/>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3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achieving specified conditions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aggregate fair value of the derivative tranche liability categorized with Level 3 inputs for the three and six months ended June 30, 2026 (in thousands):</w:t>
      </w:r>
    </w:p>
    <w:tbl>
      <w:tblPr>
        <w:tblW w:w="5038" w:type="dxa"/>
        <w:jc w:val="left"/>
        <w:tblInd w:w="0" w:type="dxa"/>
        <w:tblLayout w:type="fixed"/>
        <w:tblCellMar>
          <w:top w:w="28" w:type="dxa"/>
          <w:left w:w="28" w:type="dxa"/>
          <w:bottom w:w="28" w:type="dxa"/>
          <w:right w:w="28" w:type="dxa"/>
        </w:tblCellMar>
      </w:tblPr>
      <w:tblGrid>
        <w:gridCol w:w="1021"/>
        <w:gridCol w:w="896"/>
        <w:gridCol w:w="902"/>
        <w:gridCol w:w="431"/>
        <w:gridCol w:w="1474"/>
        <w:gridCol w:w="31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Tranche Liability</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3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90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3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50,948 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4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20,930 </w:t>
            </w:r>
          </w:p>
        </w:tc>
        <w:tc>
          <w:tcPr>
            <w:tcW w:w="3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the derivative tranche liability was settled on August 3, 2026 in connection with the Second Closing. Refer to Note 13, “Subsequent Events,” for further discussion.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condensed consolidated balance sheet for prepaid expenses and other current assets, accounts payable and accrued expenses and other liabilities are shown at their historical values, which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3.    Other Balance Sheet Components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407" w:type="dxa"/>
        <w:jc w:val="left"/>
        <w:tblInd w:w="0" w:type="dxa"/>
        <w:tblLayout w:type="fixed"/>
        <w:tblCellMar>
          <w:top w:w="28" w:type="dxa"/>
          <w:left w:w="28" w:type="dxa"/>
          <w:bottom w:w="28" w:type="dxa"/>
          <w:right w:w="28" w:type="dxa"/>
        </w:tblCellMar>
      </w:tblPr>
      <w:tblGrid>
        <w:gridCol w:w="1451"/>
        <w:gridCol w:w="1273"/>
        <w:gridCol w:w="1280"/>
        <w:gridCol w:w="211"/>
        <w:gridCol w:w="616"/>
        <w:gridCol w:w="109"/>
        <w:gridCol w:w="109"/>
        <w:gridCol w:w="109"/>
        <w:gridCol w:w="109"/>
        <w:gridCol w:w="245"/>
        <w:gridCol w:w="716"/>
        <w:gridCol w:w="179"/>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subscriptions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lease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512" w:type="dxa"/>
        <w:jc w:val="left"/>
        <w:tblInd w:w="0" w:type="dxa"/>
        <w:tblLayout w:type="fixed"/>
        <w:tblCellMar>
          <w:top w:w="28" w:type="dxa"/>
          <w:left w:w="28" w:type="dxa"/>
          <w:bottom w:w="28" w:type="dxa"/>
          <w:right w:w="28" w:type="dxa"/>
        </w:tblCellMar>
      </w:tblPr>
      <w:tblGrid>
        <w:gridCol w:w="1488"/>
        <w:gridCol w:w="1307"/>
        <w:gridCol w:w="1314"/>
        <w:gridCol w:w="211"/>
        <w:gridCol w:w="616"/>
        <w:gridCol w:w="109"/>
        <w:gridCol w:w="109"/>
        <w:gridCol w:w="109"/>
        <w:gridCol w:w="109"/>
        <w:gridCol w:w="245"/>
        <w:gridCol w:w="716"/>
        <w:gridCol w:w="179"/>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incurred depreciation and amortization expense of $0.5 million and $0.4 million for the three months ended June 30, 2026 and 2025, respectively, and $1.0 million and $0.9 million for the six months ended June 30, 2026 and 2025, respectively. For each of the three and six months ended June 30, 2026 and 2025, depreciation and amortization expense included nominal finance lease right-of-use (“ROU”) asset amortization.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662" w:type="dxa"/>
        <w:jc w:val="left"/>
        <w:tblInd w:w="0" w:type="dxa"/>
        <w:tblLayout w:type="fixed"/>
        <w:tblCellMar>
          <w:top w:w="28" w:type="dxa"/>
          <w:left w:w="28" w:type="dxa"/>
          <w:bottom w:w="28" w:type="dxa"/>
          <w:right w:w="28" w:type="dxa"/>
        </w:tblCellMar>
      </w:tblPr>
      <w:tblGrid>
        <w:gridCol w:w="1544"/>
        <w:gridCol w:w="1354"/>
        <w:gridCol w:w="1361"/>
        <w:gridCol w:w="211"/>
        <w:gridCol w:w="616"/>
        <w:gridCol w:w="109"/>
        <w:gridCol w:w="109"/>
        <w:gridCol w:w="109"/>
        <w:gridCol w:w="109"/>
        <w:gridCol w:w="245"/>
        <w:gridCol w:w="716"/>
        <w:gridCol w:w="179"/>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lease incentive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Cambridge and Watertown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leases approximately 30,000 square feet of office and laboratory space in Cambridge, Massachusetts (the “Cambridge Lease”). The Cambridge Lease was originally set to expire on June 30, 2027.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22, 2025, the Company entered into an amendment to the Cambridge Lease, which provided for rent abatements and refunds and accelerated the termination of the lease to the date thirty days after the commencement of the Watertown Lease (as defined below). The amendment did not result in the Company relinquishing control of the leased premises until the revised termination date.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on December 22, 2025, the Company entered into a lease agreement for approximately 44,000 square feet of laboratory and office space in Watertown, Massachusetts (the “Watertown Lease”) with an affiliate of the Cambridge lessor. The Watertown Lease will commence upon delivery of the premises and availability for use (the “Watertown Lease Commencement Date”), which was contractually targeted to occur approximately 180 days following execution. The initial lease term extends through June 30,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Cambridge Lease amendment and the Watertown Lease were negotiated contemporaneously as part of a coordinated relocation transaction with affiliated lessors. Accordingly, the Company combined the arrangements for accounting purposes under ASC 842 and determined that the combined contract contains two separate lease components: (i) the modified Cambridge Lease and (ii) the Watertown Lease. The total consideration of the combined contract, including contractual Watertown rent, the lease modification fee (as described below) and rent refunds, was allocated to each lease component based on relative standalone prices at the effective date of the modification.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modification, the Company remeasured the Cambridge Lease right-of-use asset and lease liability to zero and $1.1 million, respectively, and recorded a gain of approximately $0.3 million during the year ended December 31, 2025, reflecting the net impact of the remeasurement based on the allocated consideration. The gain was included within general and administrative expense and research and development expense in the consolidated statement of operations and comprehensive loss for the year ended December 31, 2025 as $0.1 million and $0.2 million,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relocation transaction, the Company agreed to pay a lease modification fee of approximately $2.1 million, payable in installments commencing after the Company relinquishes control of the Cambridge premises. The portion of the modification fee allocated to the Cambridge Lease was included in the remeasurement described above, and the remainder was allocated to the Watertown Lease component.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Watertown Lease had not commenced and, accordingly, no right-of-use asset or lease liability had been recognized for that lease component. The Watertown Lease includes an initial rent-free period of approximately 18 months. It also provides for the use of certain lessor-owned laboratory equipment during the lease term which will be accounted for as a lease incentive related to the Watertown Lease and will reduce the right-of-use asset upon lease commencement.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Watertown Lease includes an option to extend the lease term for an additional five-year period at market rates. The Company will determine the appropriate incremental borrowing rate and recognize the related right-of-use asset and lease liability upon commencement. Subsequent to June 30, 2026, the Watertown Lease commenced in August 2026.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Boulder Lease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leases approximately 5,300 square feet of office and lab space in Boulder, Colorado (the “Boulder Lease”). The Boulder Lease is a five-year lease that commenced on September 1, 2023 and expires on September 30, 2028. As the rate implicit for the Boulder Lease was not readily determinable, the Company used its incremental borrowing rate of 7.12% as of the commencement date. At commencement of the Boulder Lease, the Company recorded $1.4 million of operating right-of-use assets, $0.2 million of current operating lease liabilities and $1.2 million of non-current operating lease liabilities.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vacated its Boulder, Colorado facility. The Company recognized in its condensed consolidated statement of operations an impairment charge of $0.1 million related to the right of use assets during the six months ended June 30, 2026. As of June 30, 2026, the Company had $0.2 million of right-of-use assets, $0.3 million of current operating lease liabilities and $0.4 million of non-current operating lease liabilities related to the Boulder Lease.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entered into a sublease for the Boulder Lease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operating lease costs for the three and six months ended June 30, 2026 and 2025 (in thousands except for lease terms and borrowing rates):</w:t>
      </w:r>
    </w:p>
    <w:tbl>
      <w:tblPr>
        <w:tblW w:w="8837" w:type="dxa"/>
        <w:jc w:val="left"/>
        <w:tblInd w:w="0" w:type="dxa"/>
        <w:tblLayout w:type="fixed"/>
        <w:tblCellMar>
          <w:top w:w="28" w:type="dxa"/>
          <w:left w:w="28" w:type="dxa"/>
          <w:bottom w:w="28" w:type="dxa"/>
          <w:right w:w="28" w:type="dxa"/>
        </w:tblCellMar>
      </w:tblPr>
      <w:tblGrid>
        <w:gridCol w:w="1397"/>
        <w:gridCol w:w="1224"/>
        <w:gridCol w:w="1233"/>
        <w:gridCol w:w="403"/>
        <w:gridCol w:w="275"/>
        <w:gridCol w:w="208"/>
        <w:gridCol w:w="208"/>
        <w:gridCol w:w="208"/>
        <w:gridCol w:w="208"/>
        <w:gridCol w:w="403"/>
        <w:gridCol w:w="210"/>
        <w:gridCol w:w="211"/>
        <w:gridCol w:w="109"/>
        <w:gridCol w:w="109"/>
        <w:gridCol w:w="109"/>
        <w:gridCol w:w="362"/>
        <w:gridCol w:w="210"/>
        <w:gridCol w:w="211"/>
        <w:gridCol w:w="187"/>
        <w:gridCol w:w="187"/>
        <w:gridCol w:w="187"/>
        <w:gridCol w:w="362"/>
        <w:gridCol w:w="255"/>
        <w:gridCol w:w="361"/>
      </w:tblGrid>
      <w:tr>
        <w:trPr/>
        <w:tc>
          <w:tcPr>
            <w:tcW w:w="13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4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4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of operating leases were as follows:</w:t>
      </w:r>
    </w:p>
    <w:tbl>
      <w:tblPr>
        <w:tblW w:w="6429" w:type="dxa"/>
        <w:jc w:val="left"/>
        <w:tblInd w:w="0" w:type="dxa"/>
        <w:tblLayout w:type="fixed"/>
        <w:tblCellMar>
          <w:top w:w="28" w:type="dxa"/>
          <w:left w:w="28" w:type="dxa"/>
          <w:bottom w:w="28" w:type="dxa"/>
          <w:right w:w="28" w:type="dxa"/>
        </w:tblCellMar>
      </w:tblPr>
      <w:tblGrid>
        <w:gridCol w:w="1451"/>
        <w:gridCol w:w="1274"/>
        <w:gridCol w:w="1279"/>
        <w:gridCol w:w="255"/>
        <w:gridCol w:w="256"/>
        <w:gridCol w:w="399"/>
        <w:gridCol w:w="109"/>
        <w:gridCol w:w="109"/>
        <w:gridCol w:w="109"/>
        <w:gridCol w:w="255"/>
        <w:gridCol w:w="256"/>
        <w:gridCol w:w="677"/>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incremental borrowing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June 30, 2026 were as follows (in thousands):</w:t>
      </w:r>
    </w:p>
    <w:tbl>
      <w:tblPr>
        <w:tblW w:w="4922" w:type="dxa"/>
        <w:jc w:val="left"/>
        <w:tblInd w:w="0" w:type="dxa"/>
        <w:tblLayout w:type="fixed"/>
        <w:tblCellMar>
          <w:top w:w="28" w:type="dxa"/>
          <w:left w:w="28" w:type="dxa"/>
          <w:bottom w:w="28" w:type="dxa"/>
          <w:right w:w="28" w:type="dxa"/>
        </w:tblCellMar>
      </w:tblPr>
      <w:tblGrid>
        <w:gridCol w:w="1306"/>
        <w:gridCol w:w="1150"/>
        <w:gridCol w:w="1158"/>
        <w:gridCol w:w="109"/>
        <w:gridCol w:w="109"/>
        <w:gridCol w:w="109"/>
        <w:gridCol w:w="211"/>
        <w:gridCol w:w="61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matters currently outstanding for which any liabilities have been accrued or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5.    Collaboration and License Agreements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Children’s Medical Center Corporation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2018, the Company entered into a development and license agreement (the “CMCC Agreement”) with Children’s Medical Center Corporation (“CMCC”). The CMCC Agreement allows the Company to use CMCC’s proprietary intellectual property to conduct research, development and commercialization of products utilizing CMCC’s proprietary intellectual property in return for specified payments. The proprietary intellectual property licensed pursuant to this agreement is related to certain legacy programs deprioritized by the Company, which were subsequently sublicensed to Fulcrum Therapeutics, Inc. (“Fulcrum”), as described below. As part of the CMCC Agreement, the Company issued a total of 15,123 shares of common stock to CMCC and its affiliates based on the fair value of the common stock on the date of issuance.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pay potential development milestone payments under the terms of the CMCC Agreement of up to $7.7 million for the first licensed target, $3.9 million for the second licensed target and $1.9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third licensed target upon the achievement of certain specified contingent events. If commercial sales of a licensed product commence, the Company will pay CMCC royalties at percentage rates ranging in the low- to mid-single digits on net sales of licensed products in countries where such product is protected by patent rights. The Company incurred de minimis royalties owed to CMCC for each of the three and six months ended June 30, 2026 and 2025 under the CMCC Agreement and recorded the amounts in R&amp;D expense in the condensed consolidated statement of operations and comprehensive loss.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re-evaluates the likelihood of achieving future milestones under the CMCC Agreement at the end of each reporting period. As of June 30, 2026, the Company determined that the likelihood of achieving future milestones under the CMCC Agreement was not probable.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Whitehead Institute for Biomedical Research</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October 2019, the Company entered into a patent license agreement (as subsequently amended, the “Whitehead Agreement”) with the Whitehead Institute for Biomedical Research (“Whitehead”). Under the Whitehead Agreement, the Company was granted a worldwide, royalty-bearing, sublicensable license under certain patent rights owned or controlled by Whitehead. Upon entering into the Wh</w:t>
      </w:r>
      <w:r>
        <w:rPr>
          <w:rFonts w:ascii="Times New Roman;serif" w:hAnsi="Times New Roman;serif"/>
          <w:b w:val="false"/>
          <w:color w:val="000000"/>
          <w:sz w:val="20"/>
          <w:shd w:fill="FFFFFF" w:val="clear"/>
        </w:rPr>
        <w:t xml:space="preserve">itehead Agreement, the Company paid an initial $0.1 million license issuance fee, </w:t>
      </w:r>
      <w:r>
        <w:rPr>
          <w:rFonts w:ascii="Times New Roman;serif" w:hAnsi="Times New Roman;serif"/>
          <w:b w:val="false"/>
          <w:color w:val="000000"/>
          <w:sz w:val="20"/>
        </w:rPr>
        <w:t xml:space="preserve">and has paid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additional fees in connection with subsequent amendments to the Whitehead Agreement. The Company is obligated to pay annual license maintenance fees for the term of the Whitehead Agreement. In addition, the Company is obligated to pay certain filing, prosecution and maintenance fees with respect to certain patent rights licensed.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obligated to pay potential development milestones to Whitehead of up to $1.9 million upon the achievement of certain specified contingent events. In addition, if the Company successfully commercializes a product under the Whitehead Agreement, it is obligated to pay tiered royalties at percentage rates ranging from less than one percent to the mid-single digits of net sales or of running royalties of net sales, subject to specified reductions, until either the last-to-expire valid claim of a Whitehead patent covering the product or seven years after the first commercial sale, in each case on a product-by-product and country-by-country basis.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 incurred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fees under the Whitehead Agreement for each of the three months ended June 30, 2026 and 2025 and $0.1 million and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fees under the Whitehead Agreement for the six months ended June 30, 2026 and 2025, respectively. These fees are recorded in R&amp;D expense in the Company’s condensed consolidated statements of operations and comprehensive loss.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Out-License Agreement</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Fulcrum Therapeutics, Inc.</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July 2023, the Company entered into a license agreement (the “Fulcrum Agreement”) with Fulcrum. Under the </w:t>
      </w:r>
      <w:r>
        <w:rPr>
          <w:rFonts w:ascii="Times New Roman;serif" w:hAnsi="Times New Roman;serif"/>
          <w:b w:val="false"/>
          <w:color w:val="000000"/>
          <w:sz w:val="20"/>
          <w:shd w:fill="FFFFFF" w:val="clear"/>
        </w:rPr>
        <w:t xml:space="preserve">Fulcrum Agreement, the Company granted an exclusive license related to the Company’s intellectual property (“IP”) and granted a non-exclusive sublicense for IP obtained through the CMCC Agreement. In exchange for the license rights, Fulcrum paid the Company a $0.4 million upfront payment. Under the Fulcrum Agreement, the Company was eligible to receive milestone payments ranging from $0.6 million to $20.0 million upon the achievement of specified development and commercial milestones, depending on the product developed and milestone achieved. The Fulcrum Agreement also </w:t>
      </w:r>
      <w:r>
        <w:rPr>
          <w:rFonts w:ascii="Times New Roman;serif" w:hAnsi="Times New Roman;serif"/>
          <w:b w:val="false"/>
          <w:color w:val="000000"/>
          <w:sz w:val="20"/>
        </w:rPr>
        <w:t>provided for potential de minimis minimum annual royalty payments as well as sales-based royalties of up to the low-double digits upon commercialization. As of June 30, 2026, the Fulcrum Agreement had terminated in accordance with its terms. The Company does not expect to receive any future milestone or royalty payments under the Fulcrum Agreement.</w:t>
      </w:r>
    </w:p>
    <w:p>
      <w:pPr>
        <w:pStyle w:val="TextBody"/>
        <w:bidi w:val="0"/>
        <w:spacing w:lineRule="auto" w:line="268" w:before="0" w:after="0"/>
        <w:ind w:left="0" w:right="0" w:firstLine="720"/>
        <w:jc w:val="both"/>
        <w:rPr/>
      </w:pPr>
      <w:r>
        <w:rPr>
          <w:rFonts w:ascii="Times New Roman;serif" w:hAnsi="Times New Roman;serif"/>
          <w:b w:val="false"/>
          <w:color w:val="000000"/>
          <w:sz w:val="20"/>
        </w:rPr>
        <w:t>The Company assessed this arrangement in accordance with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and concluded that the contract counterparty was a customer. In accordance with ASC 606, the Company determined that there was one performance obligation in the Fulcrum Agreement, consisting of the exclusive and non-exclusive license rights granted to Fulcrum. The transaction price was comprised of the fixed consideration of $0.4 million and was recognized upon transfer of control of the licenses at a point in time upon contract execution. The arrangement included significant variable consideration, primarily in the form of milestone payments, which was fully constrained at the inception of the contract. </w:t>
      </w:r>
      <w:r>
        <w:rPr>
          <w:rFonts w:ascii="Times New Roman;serif" w:hAnsi="Times New Roman;serif"/>
          <w:b w:val="false"/>
          <w:color w:val="000000"/>
          <w:sz w:val="20"/>
          <w:shd w:fill="FFFFFF" w:val="clear"/>
        </w:rPr>
        <w:t xml:space="preserve">The sales-based royalty fee qualified for the royalty constraint exception and did </w:t>
      </w:r>
      <w:r>
        <w:rPr>
          <w:rFonts w:ascii="Times New Roman;serif" w:hAnsi="Times New Roman;serif"/>
          <w:b w:val="false"/>
          <w:color w:val="0094FF"/>
          <w:sz w:val="20"/>
        </w:rPr>
        <w:t>not</w:t>
      </w:r>
      <w:r>
        <w:rPr>
          <w:color w:val="000000"/>
          <w:shd w:fill="FFFFFF" w:val="clear"/>
        </w:rPr>
        <w:t xml:space="preserve"> </w:t>
      </w:r>
      <w:r>
        <w:rPr>
          <w:rFonts w:ascii="Times New Roman;serif" w:hAnsi="Times New Roman;serif"/>
          <w:b w:val="false"/>
          <w:color w:val="000000"/>
          <w:sz w:val="20"/>
          <w:shd w:fill="FFFFFF" w:val="clear"/>
        </w:rPr>
        <w:t>require an estimate of the future transaction price. The Company recorded no revenue pursuant to the Fulcrum Agreement for either of the three and six</w:t>
      </w:r>
      <w:r>
        <w:rPr>
          <w:color w:val="000000"/>
        </w:rPr>
        <w:t xml:space="preserve"> </w:t>
      </w:r>
      <w:r>
        <w:rPr>
          <w:rFonts w:ascii="Times New Roman;serif" w:hAnsi="Times New Roman;serif"/>
          <w:b w:val="false"/>
          <w:color w:val="000000"/>
          <w:sz w:val="20"/>
        </w:rPr>
        <w:t>months ended June 30, 2026 and recorded $0.6 million of revenue for each of the three and six months ended June 30,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variable consideration was remeasured and reassessed each reporting period. As of June 30, 2026, there was no remaining variable consideration related to the Fulcrum Agreement. As of and for the three and six months ended June 30, 2025, the Company determined all variable consideration was fully constrained.</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Collaboration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BioMarin Pharmaceutical Inc.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entered into a Collaboration and License Agreement (the “BioMarin Agreement”) with BioMarin Pharmaceutical Inc. (“BioMarin”). Under the terms of the BioMarin Agreement, BioMarin paid the Company an upfront, nonrefundable payment of $1.0 million, and reimbursed the Company for certain research activities. As of June 30, 2026, the BioMarin Agreement has terminated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Company assessed this arrangement in accordance with ASC 606 and concluded that BioMarin was a customer and there was one combined performance obligation, which included performance of R&amp;D activities in accordance with a contractual work plan, participation in a joint steering committee, the grant of an exclusive license to BioMarin, the grant of a non-exclusive license to the data resulting from performance of the R&amp;D activities, and providing quarterly progress reports. The transaction price was determined to be fixed consideration of $3.8 million. The work was primarily performed during 2024 and 2025 and revenue was recognized over time based upon a cost-to-cost method.</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the Company recognized zero and $0.1 million, respectively, in collaboration revenue under the BioMarin Agreement. During the </w:t>
      </w:r>
      <w:r>
        <w:rPr>
          <w:rFonts w:ascii="Times New Roman;serif" w:hAnsi="Times New Roman;serif"/>
          <w:b w:val="false"/>
          <w:color w:val="000000"/>
          <w:sz w:val="20"/>
        </w:rPr>
        <w:t>three and six months ended June 30, 2025,</w:t>
      </w:r>
      <w:r>
        <w:rPr>
          <w:color w:val="000000"/>
          <w:shd w:fill="FFFFFF" w:val="clear"/>
        </w:rPr>
        <w:t xml:space="preserve"> </w:t>
      </w:r>
      <w:r>
        <w:rPr>
          <w:rFonts w:ascii="Times New Roman;serif" w:hAnsi="Times New Roman;serif"/>
          <w:b w:val="false"/>
          <w:color w:val="000000"/>
          <w:sz w:val="20"/>
          <w:shd w:fill="FFFFFF" w:val="clear"/>
        </w:rPr>
        <w:t>the Company recognized $0.9 million</w:t>
      </w:r>
      <w:r>
        <w:rPr>
          <w:color w:val="0094FF"/>
        </w:rPr>
        <w:t xml:space="preserve"> </w:t>
      </w:r>
      <w:r>
        <w:rPr>
          <w:rFonts w:ascii="Times New Roman;serif" w:hAnsi="Times New Roman;serif"/>
          <w:b w:val="false"/>
          <w:color w:val="000000"/>
          <w:sz w:val="20"/>
        </w:rPr>
        <w:t>and</w:t>
      </w:r>
      <w:r>
        <w:rPr>
          <w:color w:val="0094FF"/>
        </w:rPr>
        <w:t xml:space="preserve"> </w:t>
      </w:r>
      <w:r>
        <w:rPr>
          <w:rFonts w:ascii="Times New Roman;serif" w:hAnsi="Times New Roman;serif"/>
          <w:b w:val="false"/>
          <w:color w:val="000000"/>
          <w:sz w:val="20"/>
          <w:shd w:fill="FFFFFF" w:val="clear"/>
        </w:rPr>
        <w:t>$1.8 million, respectively, in collaboration revenue under the BioMarin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termination of the BioMarin Agreement, the Company does not expect to receive any additional variable consideration.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GlaxoSmithKline Intellectual Property (No. 3) Limited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 Research, Collaboration and License Agreement (the “GSK Agreement”) with GlaxoSmithKline Intellectual Property (No. 3) Limited (“GSK”). Under the terms of the GSK Agreement, GSK paid the Company a one-time, nonrefundable upfront payment of $17.5 million. In addition, the Company is eligible to receive up to $440.0 million in development and commercial milestone payments, subject to achievement of specified criteria, as well as tiered royalties on annual net sales of licensed products ranging from the low- to mid-single digits during a defined royalty term for each licensed product. The GSK Agreement may be terminated in its entirety or on a Collaboration Target-by-Collaboration Target basis (as defined in the GSK Agreement) for convenience by GSK and may also be terminated by either the Company or GSK under certain other circumstances, including material breach, as set forth in the GSK Agreement. The term of the GSK Agreement continues on a country-by-country and product-by-product basis until the expiration of the applicable royalty term, unless terminated earlier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 assessed this arrangement in accordance with ASC 606 and concluded that GSK is a customer and there is one combined performance obligation, which includes performance of R&amp;D activities in accordance with a contractual work plan, </w:t>
      </w:r>
      <w:r>
        <w:rPr>
          <w:rFonts w:ascii="Times New Roman;serif" w:hAnsi="Times New Roman;serif"/>
          <w:b w:val="false"/>
          <w:color w:val="000000"/>
          <w:sz w:val="20"/>
          <w:shd w:fill="FFFFFF" w:val="clear"/>
        </w:rPr>
        <w:t xml:space="preserve">participation in a joint steering committee, the grant of an exclusive license to GSK, the grant of a non-exclusive license to the data resulting from performance of the R&amp;D activities, and providing quarterly progress reports. The transaction price was determined to be fixed consideration of </w:t>
      </w:r>
      <w:r>
        <w:rPr>
          <w:rFonts w:ascii="Times New Roman;serif" w:hAnsi="Times New Roman;serif"/>
          <w:b w:val="false"/>
          <w:color w:val="000000"/>
          <w:sz w:val="20"/>
        </w:rPr>
        <w:t>$17.5 million</w:t>
      </w:r>
      <w:r>
        <w:rPr>
          <w:rFonts w:ascii="Times New Roman;serif" w:hAnsi="Times New Roman;serif"/>
          <w:b w:val="false"/>
          <w:color w:val="000000"/>
          <w:sz w:val="20"/>
          <w:shd w:fill="FFFFFF" w:val="clear"/>
        </w:rPr>
        <w:t>. Performance of the work plan began in 2026 and revenue will be recognized over time based upon a cost-to-cost method. The Company recognized</w:t>
      </w:r>
      <w:r>
        <w:rPr>
          <w:color w:val="000000"/>
        </w:rPr>
        <w:t xml:space="preserve"> </w:t>
      </w:r>
      <w:r>
        <w:rPr>
          <w:rFonts w:ascii="Times New Roman;serif" w:hAnsi="Times New Roman;serif"/>
          <w:b w:val="false"/>
          <w:color w:val="000000"/>
          <w:sz w:val="20"/>
        </w:rPr>
        <w:t>$1.8 million and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shd w:fill="FFFFFF" w:val="clear"/>
        </w:rPr>
        <w:t xml:space="preserve">in collaboration revenue under the GSK Agreement during the </w:t>
      </w:r>
      <w:r>
        <w:rPr>
          <w:rFonts w:ascii="Times New Roman;serif" w:hAnsi="Times New Roman;serif"/>
          <w:b w:val="false"/>
          <w:color w:val="000000"/>
          <w:sz w:val="20"/>
        </w:rPr>
        <w:t xml:space="preserve">three and six months ended June 30, 2026. </w:t>
      </w:r>
      <w:r>
        <w:rPr>
          <w:rFonts w:ascii="Times New Roman;serif" w:hAnsi="Times New Roman;serif"/>
          <w:b w:val="false"/>
          <w:color w:val="000000"/>
          <w:sz w:val="20"/>
          <w:shd w:fill="FFFFFF" w:val="clear"/>
        </w:rPr>
        <w:t xml:space="preserve">Additionally, the Company recognized a contract liability in short-term deferred revenue of $13.0 million and long-term deferred revenue of $1.5 million on the condensed consolidated balance sheet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related to the upfront payment.</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arrangement includes significant variable consideration primarily in the form of milestone payments, which was fully constrained at the inception of the contract. All variable consideration is remeasured and reassessed each reporting period. As of and for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the Company determined the variable consideration was fully constrained.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6.    Derivative Tranche Liability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subject to the occurrence of the second closing triggers, the Company has agreed to sell and the investors have agreed to purchase at a closing (the “Second Closing”) up to 32,681,866 shares of the Company’s common stock or pre-funded warrants in lieu thereof at a purchase price of $1.53 per share and $1.5299 per pre-funded warrant, and directors, consultants and members of management have agreed to purchase an additional 39,306 shares of the Company’s common stock at a purchase price of $1.65 per share, for gross proceeds to the Company of up to approximately $50.1 million. The Second Closing triggers include a certain regulatory milestone (the “CTA Milestone”) and either of the following:</w:t>
      </w:r>
    </w:p>
    <w:p>
      <w:pPr>
        <w:pStyle w:val="TextBody"/>
        <w:bidi w:val="0"/>
        <w:spacing w:before="0" w:after="0"/>
        <w:ind w:left="0" w:right="0" w:firstLine="72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achievement of a volume weighted average price per share of equal to or greater than $7.50, as defined in the Purchase Agreement, measured during any ten consecutive trading days during the thirty trading days following the date of the Company’s first announcement of the regulatory milestone (the “Price Threshold”), or </w:t>
      </w:r>
    </w:p>
    <w:p>
      <w:pPr>
        <w:pStyle w:val="TextBody"/>
        <w:bidi w:val="0"/>
        <w:spacing w:lineRule="auto" w:line="268" w:before="0" w:after="240"/>
        <w:ind w:left="0" w:right="0" w:hanging="360"/>
        <w:jc w:val="left"/>
        <w:rPr/>
      </w:pPr>
      <w:r>
        <w:rPr>
          <w:rFonts w:ascii="Times New Roman;serif" w:hAnsi="Times New Roman;serif"/>
          <w:b w:val="false"/>
          <w:color w:val="000000"/>
          <w:sz w:val="20"/>
        </w:rPr>
        <w:t>2.the Company’s receipt of a signed written notice from investors holding a majority of the Securities outstanding that waives the Price Threshold for purposes of the Second Closing</w:t>
      </w:r>
      <w:r>
        <w:rPr>
          <w:color w:val="000000"/>
        </w:rPr>
        <w:t xml:space="preserve"> </w:t>
      </w:r>
      <w:r>
        <w:rPr>
          <w:rFonts w:ascii="Times New Roman;serif" w:hAnsi="Times New Roman;serif"/>
          <w:b w:val="false"/>
          <w:color w:val="000000"/>
          <w:sz w:val="20"/>
        </w:rPr>
        <w:t>(the “Price Threshold Waiver”), in which case, only the waiving investors are obligated to participate.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obligation to issue and purchase securities was concluded to be a forward contract derivative liability and was measured at fair value using a probability weighted model at the issuance date. The initial fair value (Level 3) of the forward contract was $14.9 million and was recorded as a derivative tranche liability and was remeasured to $44.8 million as of December 31, 2025. As of June 30, 2026, the derivative tranche liability was remeasured to $71.9 million and a change in fair-value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$20.9 million and</w:t>
      </w:r>
      <w:r>
        <w:rPr>
          <w:color w:val="000000"/>
          <w:shd w:fill="FFFFFF" w:val="clear"/>
        </w:rPr>
        <w:t xml:space="preserve"> </w:t>
      </w:r>
      <w:r>
        <w:rPr>
          <w:rFonts w:ascii="Times New Roman;serif" w:hAnsi="Times New Roman;serif"/>
          <w:b w:val="false"/>
          <w:color w:val="000000"/>
          <w:sz w:val="20"/>
        </w:rPr>
        <w:t>$27.1 million was recorded in the condensed consolidated statements of operations and comprehensive loss in the three and six months ended June 30, 2026, respectively.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the derivative tranche liability was settled on August 3, 2026 in connection with the Second Closing. Refer to Note 13, “Subsequent Events,”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the issuance of up to 175,000,000 shares of $0.0001 par value common stock and up to 25,000,000 shares of $0.0001 par value undesignated preferred stock. The Company’s Board of Directors (the “Board”) may designate the rights, preferences, privileges, and restrictions of the preferred stock, including dividend rights, conversion rights, voting rights, terms of redemption, liquidation preference, and number of shares constituting any series or the designation of any series. The issuance of preferred stock could have the effect of restricting dividends on the Company’s common stock, diluting the voting power of the Company’s common stock, impairing the liquidation rights of the Company’s common stock, or delaying or preventing a change in control. As of June 30, 2026, no shares of preferred stock were outstanding.</w:t>
      </w:r>
    </w:p>
    <w:p>
      <w:pPr>
        <w:pStyle w:val="TextBody"/>
        <w:bidi w:val="0"/>
        <w:spacing w:lineRule="auto" w:line="288" w:before="0" w:after="240"/>
        <w:ind w:left="0" w:right="0" w:hanging="720"/>
        <w:jc w:val="both"/>
        <w:rPr/>
      </w:pPr>
      <w:r>
        <w:rPr>
          <w:rFonts w:ascii="Times New Roman;serif" w:hAnsi="Times New Roman;serif"/>
          <w:b/>
          <w:i/>
          <w:color w:val="000000"/>
          <w:sz w:val="20"/>
        </w:rPr>
        <w:t xml:space="preserve">Recent Equity Financings - </w:t>
      </w:r>
      <w:r>
        <w:rPr>
          <w:rFonts w:ascii="Times New Roman;serif" w:hAnsi="Times New Roman;serif"/>
          <w:b w:val="false"/>
          <w:i/>
          <w:color w:val="000000"/>
          <w:sz w:val="20"/>
        </w:rPr>
        <w:t>Private Placement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Closing of the Private Placement occurred on September 11, 2025. At the Initial Closing, the Company issued and sold 26,681,053 shares of the Company’s common stock priced at $1.53 per share to certain investors, some of which were affiliated with directors of the Company, and 36,361 shares of common stock priced at $1.65 to directors, management and consultants of the Company (collectively, the “Shares”). In lieu of common stock, certain investors were sold pre-funded warrants to purchase 6,003,758 shares of common stock (the “Warrant Shares,” and together with the Shares, the “Securities”) at an offering price of $1.5299 per pre-funded warrant. Gross proceeds to the Company totaled $50.1 million before deducting $3.3 million of placement agent fees and other expenses.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pre-funded warrants issued in the Initial Closing and the Second Closing have an exercise price of $0.0001 per Warrant Share, subject to customary adjustments, will be exercisable at any time after original issuance, will not expire until exercised in full, and will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Private Placement, on November 3, 2025, the Company filed an initial registration statement on Form S-3 (the “Initial Registration Statement”) with the SEC, which subsequently became effective,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register the Shares for resale and, as applicable, the Warrant Shares, issued in the Initial Closing. Following the Second Closing, the Company filed a second registration statement (the “Second Registration Statement”) with the SEC, which subsequently became effective, to register the shares for resale and, as applicable, the warrant shares, in each case that are issued in connection with the Second Closing.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 pre-funded warrants issued in the Initial Closing met the conditions to be classified as equity instruments.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At-the-Market Sales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10, 2025, the Company filed a shelf registration statement on Form S-3 (the “Shelf Registration Statement”), which subsequently became effective. Pursuant to the Shelf Registration Statement, the Company may offer and sell up to $300.0 million of a variety of securities, including common stock, preferred stock, warrants or debt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filing of the Shelf Registration Statement, the Company also entered into a sales agreement (the “Sales Agreement”) with Leerink Partners, as sales agent, pursuant to which it may issue and sell shares of its common stock for a maximum aggregate offering price of up to $100.0 million, which is included in the $300.0 million of securities that may be offered pursuant to the Shelf Registration Statement. Pursuant to the Sales Agreement, the Company will pay the sales agent a commission rate of up to 3.0% of the gross proceeds from the sale of any shares of its common stock. The Company is not obligated to make any sales of shares of its common stock under the Sales Agreement. During the three and six months ended June 30, 2026, the Company did not issue any shares of its common stock under the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adopted the 2024 Equity Incentive Plan (the “2024 Plan”), which became effective in connection with the Company’s IPO. The 2024 Plan provides for the grant of stock options, stock appreciation rights, restricted and unrestricted stock awards, restricted stock unit awards, and other stock-based awards to employees, directors, and non-employee service providers of the Company.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Plan initially reserved 2,143,039 shares of common stock for the issuance of future awards and provided for an automatic annual increase in the number of shares of common stock reserved for future issuance by the lesser of (i) 5% of the number of shares of the Company’s common stock outstanding as of the close of business on the immediately preceding December 31 and (ii) the number of shares determined by the Board on or prior to such date for such year. As of June 30, 2026, there were 658,513 shares of common stock reserved and available for issuance pursuant to the 2024 Plan. In June 2026, in connection with the Company's 2026 annual meeting of stockholders, stockholders approved an amendment to the 2024 Plan that redefined common stock outstanding for the purposes of calculating the annual increase to the shares available for issuance under the 2024 Plan. After the amendment, outstanding shares includes all outstanding common shares as well as outstanding pre-funded warrants.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adopted the 2026 Inducement Plan (the “Inducement Plan”), pursuant to which the Company may grant non-statutory stock options, stock appreciation rights, stock units, restricted stock units, performance awards, and other stock-based awards to individuals not previously an employee or director of the Company, or following a bona fide period of non-employment, as a material inducement to such individual entering into employment with the Company or any of its subsidiaries, in accordance with Nasdaq Listing Rule 5635(c)(4). The Company initially reserved 500,000 shares of common stock for issuance under the Inducement Plan. As of June 30, 2026, there were 461,000 shares of common stock reserved and available for issuance pursuant to the Inducement Plan.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Awards granted under the 2024 Plan and the Inducement Plan expire no later than ten years from the date of grant. The price of stock options shall not be less than 100% of the estimated fair value on the date of grant and typically vest over a four-year period, although awards may be granted with different vesting terms.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the Company granted options for the purchase of </w:t>
      </w:r>
      <w:r>
        <w:rPr>
          <w:rFonts w:ascii="Times New Roman;serif" w:hAnsi="Times New Roman;serif"/>
          <w:b w:val="false"/>
          <w:color w:val="000000"/>
          <w:sz w:val="20"/>
          <w:shd w:fill="FFFFFF" w:val="clear"/>
        </w:rPr>
        <w:t>2,506,000 and 2,534,000</w:t>
      </w:r>
      <w:r>
        <w:rPr>
          <w:color w:val="0094FF"/>
        </w:rPr>
        <w:t xml:space="preserve"> </w:t>
      </w:r>
      <w:r>
        <w:rPr>
          <w:rFonts w:ascii="Times New Roman;serif" w:hAnsi="Times New Roman;serif"/>
          <w:b w:val="false"/>
          <w:color w:val="000000"/>
          <w:sz w:val="20"/>
        </w:rPr>
        <w:t xml:space="preserve">shares of common stock, respectively, which amounts include options granted under the 2024 Plan, the Inducement Plan and inducement grants made prior to the adoption of the Inducement Plan.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assumptions used to estimate the fair value of the stock options granted during the six months ended June 30, 2026 were as follows: </w:t>
      </w:r>
    </w:p>
    <w:tbl>
      <w:tblPr>
        <w:tblW w:w="5023" w:type="dxa"/>
        <w:jc w:val="left"/>
        <w:tblInd w:w="0" w:type="dxa"/>
        <w:tblLayout w:type="fixed"/>
        <w:tblCellMar>
          <w:top w:w="28" w:type="dxa"/>
          <w:left w:w="28" w:type="dxa"/>
          <w:bottom w:w="28" w:type="dxa"/>
          <w:right w:w="28" w:type="dxa"/>
        </w:tblCellMar>
      </w:tblPr>
      <w:tblGrid>
        <w:gridCol w:w="772"/>
        <w:gridCol w:w="677"/>
        <w:gridCol w:w="680"/>
        <w:gridCol w:w="589"/>
        <w:gridCol w:w="589"/>
        <w:gridCol w:w="17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weighted average grant-date fair value of options granted was $3.53.</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During the six months ended June 30, 2026, employees of the Company purchased an aggregate of </w:t>
      </w:r>
      <w:r>
        <w:rPr>
          <w:rFonts w:ascii="Times New Roman;serif" w:hAnsi="Times New Roman;serif"/>
          <w:b w:val="false"/>
          <w:color w:val="000000"/>
          <w:sz w:val="20"/>
          <w:shd w:fill="FFFFFF" w:val="clear"/>
        </w:rPr>
        <w:t xml:space="preserve">15,562 </w:t>
      </w:r>
      <w:r>
        <w:rPr>
          <w:rFonts w:ascii="Times New Roman;serif" w:hAnsi="Times New Roman;serif"/>
          <w:b w:val="false"/>
          <w:color w:val="000000"/>
          <w:sz w:val="20"/>
        </w:rPr>
        <w:t>shares under the 2024 Employee Stock Purchase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classification of stock-based compensation expense for the three and six months ended June 30, 2026 and 2025 (in thousands):</w:t>
      </w:r>
    </w:p>
    <w:tbl>
      <w:tblPr>
        <w:tblW w:w="7578" w:type="dxa"/>
        <w:jc w:val="left"/>
        <w:tblInd w:w="0" w:type="dxa"/>
        <w:tblLayout w:type="fixed"/>
        <w:tblCellMar>
          <w:top w:w="28" w:type="dxa"/>
          <w:left w:w="28" w:type="dxa"/>
          <w:bottom w:w="28" w:type="dxa"/>
          <w:right w:w="28" w:type="dxa"/>
        </w:tblCellMar>
      </w:tblPr>
      <w:tblGrid>
        <w:gridCol w:w="837"/>
        <w:gridCol w:w="734"/>
        <w:gridCol w:w="73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an aggregate of $17.1 million of gross unrecognized stock-based compensation expense as of June 30, 2026, which is expected to be recognized over a weighted average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provision for federal, state, or foreign income taxes has been recorded for the three and six months ended June 30, 2026 and 2025 and the effective tax rate was zero. The Company has incurred net operating losses for all the periods presented and has not reflected any benefit for such net operating loss carryforwards in the accompanying condensed consolidated financial statements due to uncertainty around utilizing these tax attributes within their respective carryforward periods. The Company has recorded a full valuation allowance against its deferred tax assets as it is more likely than not that such assets will not be realized in the near future.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reserves related to uncertain tax positions as of June 30, 2026 and December 31, 2025. For the three and six months ended June 30, 2026 and 2025, the Company did not recognize any potential interest or penalties. The Company is not currently subject to any tax assessment from an income tax examination in the U.S. or any other taxing jurisdiction.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activities on a consolidated basis and operates as a single operating segment: R&amp;D, which engages in the business of developing a new class of RNA-based therapeutics to treat a broad range of genetic diseases. The Company's operations are primarily in the United States.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(the “CODM”) is its Chief Executive Officer. The CODM uses net loss, as reported on the Company’s condensed consolidated statement of operations and comprehensive loss,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evaluating performance and determining how to allocate resources. The CODM does not review assets in evaluating the results and therefore, such information is not presented.</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financial results of the Company’s R&amp;D segment for the three and six months ended June 30, 2026 and 2025 are as follows (in thousands):</w:t>
      </w:r>
    </w:p>
    <w:tbl>
      <w:tblPr>
        <w:tblW w:w="8474" w:type="dxa"/>
        <w:jc w:val="left"/>
        <w:tblInd w:w="0" w:type="dxa"/>
        <w:tblLayout w:type="fixed"/>
        <w:tblCellMar>
          <w:top w:w="28" w:type="dxa"/>
          <w:left w:w="28" w:type="dxa"/>
          <w:bottom w:w="28" w:type="dxa"/>
          <w:right w:w="28" w:type="dxa"/>
        </w:tblCellMar>
      </w:tblPr>
      <w:tblGrid>
        <w:gridCol w:w="1077"/>
        <w:gridCol w:w="948"/>
        <w:gridCol w:w="95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Other segment (loss)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segment income includes total other income, net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Net Loss Per Share Attributable to Common Stockholders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11"/>
        <w:gridCol w:w="1482"/>
        <w:gridCol w:w="1489"/>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59"/>
      </w:tblGrid>
      <w:tr>
        <w:trPr/>
        <w:tc>
          <w:tcPr>
            <w:tcW w:w="181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 (1)</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57,929,662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20,159,666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57,926,685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20,155,161</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(1) Weighted-average common shares outstanding for the three and six months ended June 30, 2026 includes 6,003,758 of common shares issuable upon the exercise of pre-funded warrants issued in the Initial Closing.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which include or have included convertible preferred stock, outstanding stock options, unvested restricted common stock, and warrants to purchase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from the computation of diluted net loss per share attributable to common stockholders as of June 30, 2026 and 2025 because their inclusion would have had an anti-dilutive effect:</w:t>
      </w:r>
    </w:p>
    <w:tbl>
      <w:tblPr>
        <w:tblW w:w="10073" w:type="dxa"/>
        <w:jc w:val="left"/>
        <w:tblInd w:w="0" w:type="dxa"/>
        <w:tblLayout w:type="fixed"/>
        <w:tblCellMar>
          <w:top w:w="28" w:type="dxa"/>
          <w:left w:w="28" w:type="dxa"/>
          <w:bottom w:w="28" w:type="dxa"/>
          <w:right w:w="28" w:type="dxa"/>
        </w:tblCellMar>
      </w:tblPr>
      <w:tblGrid>
        <w:gridCol w:w="2477"/>
        <w:gridCol w:w="2178"/>
        <w:gridCol w:w="2185"/>
        <w:gridCol w:w="109"/>
        <w:gridCol w:w="109"/>
        <w:gridCol w:w="169"/>
        <w:gridCol w:w="169"/>
        <w:gridCol w:w="169"/>
        <w:gridCol w:w="169"/>
        <w:gridCol w:w="375"/>
        <w:gridCol w:w="375"/>
        <w:gridCol w:w="286"/>
        <w:gridCol w:w="109"/>
        <w:gridCol w:w="109"/>
        <w:gridCol w:w="109"/>
        <w:gridCol w:w="320"/>
        <w:gridCol w:w="320"/>
        <w:gridCol w:w="336"/>
      </w:tblGrid>
      <w:tr>
        <w:trPr/>
        <w:tc>
          <w:tcPr>
            <w:tcW w:w="247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1303" w:type="dxa"/>
            <w:gridSpan w:val="6"/>
            <w:tcBorders/>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settlement of derivative tranche liability in Private Placement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32,681,866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6,845,534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2,995,094</w:t>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39,527,542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2,995,236</w:t>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the derivative tranche liability was settled on August 3, 2026 in connection with the Second Closing. Refer to Note 13, “Subsequent Events,”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erif" w:hAnsi="Times New Roman;serif"/>
          <w:b/>
          <w:color w:val="000000"/>
          <w:sz w:val="20"/>
        </w:rPr>
        <w:t>12.    </w:t>
      </w:r>
      <w:r>
        <w:rPr>
          <w:rFonts w:ascii="Times New Roman;serif" w:hAnsi="Times New Roman;serif"/>
          <w:b/>
          <w:color w:val="000000"/>
          <w:sz w:val="20"/>
          <w:shd w:fill="FFFFFF" w:val="clear"/>
        </w:rPr>
        <w:t xml:space="preserve">Related Parties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2015, the Company entered into consulting agreements with its two founders, related parties who hold shares of the Company’s common stock, to provide R&amp;D and strategic planning services. For both the three months ended June 30, 2026 and 2025, the Company recognized R&amp;D expense of $0.1 million related to work performed under the founder agreements. For both the three months ended June 30, 2026 and 2025, the Company recognized stock-based compensation expense of less than $0.1 million related to the consulting agreements. The Company had no amounts due to the founders as of June 30, 2026 or 2025. For both the six months ended June 30, 2026 and 2025, the Company recognized R&amp;D expense of $0.1 million related to work performed under the founder agreements. For both the six months ended June 30, 2026 and 2025, the Company recognized stock-based compensation expense of $0.1 million related to the consulting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March 2019, the Company entered into a consulting agreement with an executive consultant, a related party who holds shares of the Company’s common stock. The agreement had terminated as of June 30, 2026. For each of the three and six months ended June 30, 2026 and 2025, the Company recognized G&amp;A expense totaling less than $0.1 million related to work performed under the consulting agreement. For each of the three months ended June 30, 2026 and 2025, the Company recognized stock-based compensation expense of less than $0.1 million related to the consulting agreement. For both the six months ended June 30, 2026 and 2025, the Company recognized stock-based compensation expense of $0.1 million related to the consulting agreement. The Company had a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amount due to the consultant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July 2026, the Company received clearance from Australia’s Therapeutic Goods Administration and the local Human Research Ethics Committee to initiate the Company’s Phase 1/2 clinical trial of CMP-002, the Company’s investigational product candidate for the treatment of SYNGAP1-related disorder, which clearance satisfied the CTA Milestone, as defined in the Purchase Agreement. The Company also subsequently received clearance from Argentina’s Administración Nacional de Medicamentos, Alimentos y Tecnología Médica. The Company received a Price Threshold Waiver, as defined in the Purchase Agreement. The CTA Mi</w:t>
      </w:r>
      <w:r>
        <w:rPr>
          <w:rFonts w:ascii="Times New Roman;serif" w:hAnsi="Times New Roman;serif"/>
          <w:b w:val="false"/>
          <w:color w:val="000000"/>
          <w:sz w:val="20"/>
          <w:shd w:fill="FFFFFF" w:val="clear"/>
        </w:rPr>
        <w:t xml:space="preserve">lestone and the Price Threshold Waiver triggered the Second Closing of the Private Placement and the related settlement of the derivative tranche liability. The Second Closing occurred on August 3, 2026, resulting in gross proceeds to the Company of approximately $50.1 million before deducting placement agent fees and other offering expenses. The accounting for the settlement of the derivative tranche liability and related financial impact will be reflected in the </w:t>
      </w:r>
      <w:r>
        <w:rPr>
          <w:rFonts w:ascii="Times New Roman;serif" w:hAnsi="Times New Roman;serif"/>
          <w:b w:val="false"/>
          <w:color w:val="000000"/>
          <w:sz w:val="20"/>
        </w:rPr>
        <w:t>Company’s Quarterly Report on Form 10-Q for the quarter ending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and the unaudited interim condensed consolidated financial statements and related notes included in this Quarterly Report on Form 10-Q (the “Quarterly Report”) should be read in conjunction with the audited financial statements and related notes thereto in our Annual Report on Form 10-K for the fiscal year ended December 31, 2025, which was filed with the Securities and Exchange Commission (the “SEC”) on March 5, 2026 (the “2025 Form 10-K”). This discussion and analysis and other parts of this Quarterly Report contain forward-looking statements. Our actual results and the timing of selected events could differ materially from those described in or implied by these forward-looking statements. Factors that could cause or contribute to such differences include, but are not limited to, those discussed in the sections of this Quarterly Report titled “Special Note Regarding Forward-Looking Statements and Industry Data,” and those risk factors described in “Part I, Item 1A, Risk Factors” of our 2025 Form 10-K and in “Part II, Item 1A, Risk Factors” in this Quarterly Report.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are a clinical-stage biopharmaceutical company pioneering the discovery and development of a new class of RNA-targeting therapeutics with the goal of upregulating gene expression and restoring healthy protein levels to treat a broad range of genetic diseases. Our lead product candidate, CMP-002, has the potential to be the first disease-modifying therapy for the treatment of synaptic Ras GTPase activating protein 1 (“SYNGAP1”)-related disorder, or SYNGAP1, a severe developmental and epileptic encephalopathy (“DEE”) characterized by seizures, developmental delays, and cognitive impairments. SYNGAP1 is caused by haploinsufficiency of the </w:t>
      </w:r>
      <w:r>
        <w:rPr>
          <w:rFonts w:ascii="Times New Roman;serif" w:hAnsi="Times New Roman;serif"/>
          <w:b w:val="false"/>
          <w:i/>
          <w:color w:val="000000"/>
          <w:sz w:val="20"/>
        </w:rPr>
        <w:t>SYNGAP1</w:t>
      </w:r>
      <w:r>
        <w:rPr>
          <w:color w:val="000000"/>
        </w:rPr>
        <w:t xml:space="preserve"> </w:t>
      </w:r>
      <w:r>
        <w:rPr>
          <w:rFonts w:ascii="Times New Roman;serif" w:hAnsi="Times New Roman;serif"/>
          <w:b w:val="false"/>
          <w:color w:val="000000"/>
          <w:sz w:val="20"/>
        </w:rPr>
        <w:t>gene, where mutation of one functional gene copy results in a reduction in SYNGAP protein levels of up to 50%. While we believe that it remains underdiagnosed, we estimate that there are approximately 21,000 individuals living with SYNGAP1 in the United States and the five largest European markets. There are no approved disease-modifying therapies for SYNGAP1.</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CMP-002 is a novel, intrathecally delivered antisense oligonucleotide (“ASO”) designed to target the </w:t>
      </w:r>
      <w:r>
        <w:rPr>
          <w:rFonts w:ascii="Times New Roman;serif" w:hAnsi="Times New Roman;serif"/>
          <w:b w:val="false"/>
          <w:i/>
          <w:color w:val="000000"/>
          <w:sz w:val="20"/>
        </w:rPr>
        <w:t>SYNGAP1</w:t>
      </w:r>
      <w:r>
        <w:rPr>
          <w:color w:val="000000"/>
        </w:rPr>
        <w:t xml:space="preserve"> </w:t>
      </w:r>
      <w:r>
        <w:rPr>
          <w:rFonts w:ascii="Times New Roman;serif" w:hAnsi="Times New Roman;serif"/>
          <w:b w:val="false"/>
          <w:color w:val="000000"/>
          <w:sz w:val="20"/>
        </w:rPr>
        <w:t xml:space="preserve">gene at the transcriptional level to increase gene expression, which may increase SYNGAP protein levels in amounts sufficient to yield therapeutic benefit. In preclinical studies, intracerebroventricular injection of CMP-002 restored SYNGAP protein levels to near normal range in haploinsufficient mice carrying a single copy of the human </w:t>
      </w:r>
      <w:r>
        <w:rPr>
          <w:rFonts w:ascii="Times New Roman;serif" w:hAnsi="Times New Roman;serif"/>
          <w:b w:val="false"/>
          <w:i/>
          <w:color w:val="000000"/>
          <w:sz w:val="20"/>
        </w:rPr>
        <w:t>SYNGAP1</w:t>
      </w:r>
      <w:r>
        <w:rPr>
          <w:color w:val="000000"/>
        </w:rPr>
        <w:t xml:space="preserve"> </w:t>
      </w:r>
      <w:r>
        <w:rPr>
          <w:rFonts w:ascii="Times New Roman;serif" w:hAnsi="Times New Roman;serif"/>
          <w:b w:val="false"/>
          <w:color w:val="000000"/>
          <w:sz w:val="20"/>
        </w:rPr>
        <w:t xml:space="preserve">gene after a single dose and rescued motor defects and spatial learning defects following two doses. A single dose of CMP-002 also produced a statistically significant improvement in both seizure threshold and severity of chemically induced tonic-clonic seizures in </w:t>
      </w:r>
      <w:r>
        <w:rPr>
          <w:rFonts w:ascii="Times New Roman;serif" w:hAnsi="Times New Roman;serif"/>
          <w:b w:val="false"/>
          <w:i/>
          <w:color w:val="000000"/>
          <w:sz w:val="20"/>
        </w:rPr>
        <w:t>SYNGAP1</w:t>
      </w:r>
      <w:r>
        <w:rPr>
          <w:color w:val="000000"/>
        </w:rPr>
        <w:t xml:space="preserve"> </w:t>
      </w:r>
      <w:r>
        <w:rPr>
          <w:rFonts w:ascii="Times New Roman;serif" w:hAnsi="Times New Roman;serif"/>
          <w:b w:val="false"/>
          <w:color w:val="000000"/>
          <w:sz w:val="20"/>
        </w:rPr>
        <w:t>haploinsufficient mice, suggesting the potential for therapeutic benefit across both the neurodevelopmental and seizure phenotypes that characterize SYNGAP1-related disorder. In addition, biweekly intrathecal injections of CMP-002 in cynomolgus monkeys were well tolerated and significantly increased SYNGAP protein levels across multiple brain regions clinically relevant to the disease, with dose-linear increases of CMP-002 in disease-relevant brain regions. We have received clearance from Australia’s Therapeutic Goods Administration and Argentina’s Administración Nacional de Medicamentos, Alimentos y Tecnología Médica to initiate our Phase 1/2 clinical trial of CMP-002 in individuals with SYNGAP1, and we have submitted additional regulatory filings in the European Union and United Kingdom to support broader enrollment across multiple sites. We intend to initiate the Phase 1/2 clinical trial in the fourth quarter of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development efforts are enabled by our proprietary RAP Platform. We leverage our RAP Platform to identify and characterize regulatory RNAs (“regRNAs”), which play a central role in the regulation of every protein-coding gene by contributing to gene activation and suppression. Our approach is designed to amplify messenger RNA (“mRNA”) expression by harnessing the power of regRNAs that form localized complexes with transcription factors and regulate gene expression. Our RAP Platform allows us to rapidly and systematically identify and characterize the active regulatory elements controlling every expressed gene and tens of thousands of druggable enhancer and promoter regRNA sequences that control protein-coding genes. Once a disease-associated target gene is identified, we apply our RAP Platform to identify the controlling regRNA and rapidly generate novel ASO candidates. These ASOs are designed to bind to the identified regRNA and amplify the expression of the target gene in a specific and controllable way.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therapeutic focus is on diseases of the central nervous system (“CNS”), where there are numerous rare and prevalent haploinsufficient diseases with no approved treatments for which a modest increase in protein expression has the potential to be clinically meaningful. In addition to our SYNGAP1 program, we are advancing discovery programs in other CNS indications. We also intend to leverage strategic discovery partnerships, including our research, collaboration, and license agreement with GlaxoSmithKline, to extend the application of our RAP Platform beyond the CNS and validate our approach to gene upregulation in additional tissues and disease areas.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in 2015, we have focused substantially all of our resources primarily on developing our RAP Platform, identifying, developing and progressing our product candidates through preclinical and clinical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organizing and staffing our company, conducting research and development (“R&amp;D”) activities, establishing and protecting our intellectual property portfolio, and raising capital. To date, we have primarily funded our operations with proceeds from the sale of convertible preferred stock and common stock, including pursuant to an underwritten offering completed in December 2025, a private placement of our common stock and pre-funded warrants (the “Private Placement”), the initial closing of which occurred in September 2025 (the “Initial Closing”), and the second closing of which occurred in August 2026 (the “Second Closing”), and our initial public offering (“IPO”), which closed on October 15, 2024, as well as through revenues from our license and collaboration agreements. Through June 30, 2026, we have received net proceeds of $28.1 million from our December 2025 underwritten offering, $46.7 million from the Initial Closing of the Private Placement, $72.4 million from our IPO and $188.3 million from the sale of our convertible preferred stock prior to our IPO. In addition, through June 30, 2026, we have recognized</w:t>
      </w:r>
      <w:r>
        <w:rPr>
          <w:color w:val="000000"/>
          <w:shd w:fill="FFFFFF" w:val="clear"/>
        </w:rPr>
        <w:t xml:space="preserve"> </w:t>
      </w:r>
      <w:r>
        <w:rPr>
          <w:rFonts w:ascii="Times New Roman;serif" w:hAnsi="Times New Roman;serif"/>
          <w:b w:val="false"/>
          <w:color w:val="000000"/>
          <w:sz w:val="20"/>
        </w:rPr>
        <w:t>$24.6 million in research collaboration and license revenue through our development and license agreements. Subsequent to June 30, 2026, we received net proceeds of $46.9 from the Second Closing of the Private Placement. Our ability to generate any product revenue and, in particular, our ability to generate product revenue sufficient to achieve profitability, will depend on the successful development and eventual commercialization of product candidates.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and negative cash flows from operations since our inception. Our net losses were $51.9 million and $25.0 million for the six months ended June 30, 2026 and 2025, respectively. As of June 30, 2026, we had an accumulated deficit of $344.0 million. Substantially all our net losses have resulted from costs incurred in connection with our R&amp;D programs and, to a lesser extent, from general and administrative (“G&amp;A”) costs associated with our operations. Our net losses may fluctuate significantly from quarter-to-quarter and year-to-year, depending on the timing of our clinical trials and preclinical studies, our other R&amp;D activities and capital expenditures, and the timing and amount of any milestone or royalty payments due under our existing or future license or collaboration agreements. In addition, we incur additional costs associated with operating as a public company, including significant legal, audit, accounting, regulatory and tax-related services associated with maintaining compliance with exchange listing and requirements of the Securities and Exchange Commission (“SEC”), director and officer liability insurance costs, investor and public relations costs, and other expenses that we did not incur as a private company. If we obtain regulatory approval for our product candidates, we expect to incur significant expenses related to developing our commercialization capability to support product sales, marketing and distribution.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if and as we: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finalize preclinical development for CMP-002 and advance into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current and future product candidates through preclinical studies and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expand the capabilities of our RAP Platform and seek to identify and develop additional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seek marketing approvals for any product candidates that successfully complete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 expand, maintain, defend and enforce our intellectual property portfolio;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hire additional clinical, regulatory and scientific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contract with third-party manufacturers for preclinical and clinical supply to support any future product candidates we may develop and for commercial supply with respect to any such product candidates that receive regulatory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ultimately establish a sales, marketing and distribution infrastructure to commercialize any products for which we may obtain marketing approval;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add operational, legal, compliance, financial and management information systems and personnel to support our research, product development and future commercialization efforts.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development of therapeutics, we are unable to accurately predict the timing or amount of increased expenses and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as planned and may be forced to reduce or terminate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or any future product candidates, which we expect will take a number of years or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and potential future collaborations, license agreements,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develop and market ourselves, or even cease operations.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$86.4 million. Based on our current operating plan, we estimate that our cash and cash equivalents as of June 30, 2026, together with the net proceeds of $46.9 million received from the Second Closing under the Purchase Agreement in August 2026, will be sufficient to fund our operating expenses and capital expenditure requirements through the end of 2028. However, we have based this estimate on assumptions that may prove to be wrong, and we could deplete our capital resources sooner than we currently expect. See the sections titled “—Liquidity and Capital Resources” and “Risk Factors—Risks Related to our Financial Position and Need for Additional Capital” included in our 2025 Form 10-K.</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own or operate and currently have no plans to establish any manufacturing facilities. We rely, and expect to continue to rely, on third parties for preclinical and clinical supply as well as commercial supply if we obtain marketing approval. In addition, we rely on third parties to package, label, store, and distribute our clinical supply and we intend to rely on third parties to conduct the same activities for our commercial products if we obtain regulatory approval. We believe that this strategy allows us to maintain a more efficient infrastructure by eliminating the need for us to invest in our own manufacturing facilities, equipment, and personnel while also enabling us to focus our expertise and resources on the development of product candidates and continued enhancement of our RAP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(in thousands):</w:t>
      </w:r>
    </w:p>
    <w:tbl>
      <w:tblPr>
        <w:tblW w:w="8246" w:type="dxa"/>
        <w:jc w:val="left"/>
        <w:tblInd w:w="0" w:type="dxa"/>
        <w:tblLayout w:type="fixed"/>
        <w:tblCellMar>
          <w:top w:w="28" w:type="dxa"/>
          <w:left w:w="28" w:type="dxa"/>
          <w:bottom w:w="28" w:type="dxa"/>
          <w:right w:w="28" w:type="dxa"/>
        </w:tblCellMar>
      </w:tblPr>
      <w:tblGrid>
        <w:gridCol w:w="1516"/>
        <w:gridCol w:w="1336"/>
        <w:gridCol w:w="1347"/>
        <w:gridCol w:w="211"/>
        <w:gridCol w:w="796"/>
        <w:gridCol w:w="109"/>
        <w:gridCol w:w="109"/>
        <w:gridCol w:w="109"/>
        <w:gridCol w:w="109"/>
        <w:gridCol w:w="211"/>
        <w:gridCol w:w="796"/>
        <w:gridCol w:w="109"/>
        <w:gridCol w:w="109"/>
        <w:gridCol w:w="109"/>
        <w:gridCol w:w="109"/>
        <w:gridCol w:w="211"/>
        <w:gridCol w:w="79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(20,591)</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(20,943)</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Collaboration Revenue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$1.8 million in research and collaboration revenue during the three months ended June 30, 2026, compared to $1.5 million during the three months ended June 30, 2025. Research and collaboration revenue recognized in the three months ended June 30, 2026 related to our Research, Collaboration and License Agreement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GlaxoSmithKline Intellectual Property (No. 3) Limited (“GSK”). Research and collaboration revenue recognized in the three months ended June 30, 2025 included $0.9 million related to our Collaboration and License Agreement with BioMarin and a $0.6 million milestone payment earned under the Fulcrum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R&amp;D expenses for the three months ended June 30, 2026 and 2025 (in thousands):</w:t>
      </w:r>
    </w:p>
    <w:tbl>
      <w:tblPr>
        <w:tblW w:w="7129" w:type="dxa"/>
        <w:jc w:val="left"/>
        <w:tblInd w:w="0" w:type="dxa"/>
        <w:tblLayout w:type="fixed"/>
        <w:tblCellMar>
          <w:top w:w="28" w:type="dxa"/>
          <w:left w:w="28" w:type="dxa"/>
          <w:bottom w:w="28" w:type="dxa"/>
          <w:right w:w="28" w:type="dxa"/>
        </w:tblCellMar>
      </w:tblPr>
      <w:tblGrid>
        <w:gridCol w:w="1206"/>
        <w:gridCol w:w="1058"/>
        <w:gridCol w:w="1065"/>
        <w:gridCol w:w="211"/>
        <w:gridCol w:w="721"/>
        <w:gridCol w:w="109"/>
        <w:gridCol w:w="109"/>
        <w:gridCol w:w="109"/>
        <w:gridCol w:w="109"/>
        <w:gridCol w:w="211"/>
        <w:gridCol w:w="721"/>
        <w:gridCol w:w="109"/>
        <w:gridCol w:w="109"/>
        <w:gridCol w:w="109"/>
        <w:gridCol w:w="109"/>
        <w:gridCol w:w="270"/>
        <w:gridCol w:w="597"/>
        <w:gridCol w:w="197"/>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9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6" w:space="0" w:color="CCEEFF"/>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were $10.8 million for the three months ended June 30, 2026, compared to $10.3 million for the three months ended June 30, 2025. The increase of $0.5 million was primarily driven by higher personnel-related costs of $0.5 million due to increased stock-based compensation expense and an increase of $0.4 million in clinical and preclinical costs as we continue to advance CMP-002, including entering into contractual obligations with a contract research organization for services related to our planned Phase 1/2 clinical trial. These increases were partially offset by decreases of $0.2 million in professional and consulting fees and $0.1 million in facilities-related and overhead expense.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G&amp;A expenses for the three months ended June 30, 2026 and 2025 (in thousands):</w:t>
      </w:r>
    </w:p>
    <w:tbl>
      <w:tblPr>
        <w:tblW w:w="6920" w:type="dxa"/>
        <w:jc w:val="left"/>
        <w:tblInd w:w="0" w:type="dxa"/>
        <w:tblLayout w:type="fixed"/>
        <w:tblCellMar>
          <w:top w:w="28" w:type="dxa"/>
          <w:left w:w="28" w:type="dxa"/>
          <w:bottom w:w="28" w:type="dxa"/>
          <w:right w:w="28" w:type="dxa"/>
        </w:tblCellMar>
      </w:tblPr>
      <w:tblGrid>
        <w:gridCol w:w="1207"/>
        <w:gridCol w:w="1059"/>
        <w:gridCol w:w="1064"/>
        <w:gridCol w:w="211"/>
        <w:gridCol w:w="616"/>
        <w:gridCol w:w="109"/>
        <w:gridCol w:w="109"/>
        <w:gridCol w:w="109"/>
        <w:gridCol w:w="109"/>
        <w:gridCol w:w="211"/>
        <w:gridCol w:w="616"/>
        <w:gridCol w:w="109"/>
        <w:gridCol w:w="109"/>
        <w:gridCol w:w="109"/>
        <w:gridCol w:w="109"/>
        <w:gridCol w:w="270"/>
        <w:gridCol w:w="597"/>
        <w:gridCol w:w="19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G&amp;A expenses were $4.3 million for the three months ended June 30, 2026, compared to $4.2 million for the three months ended June 30, 2025. The increase of $0.2 million was primarily driven by an increase in other expenses of $0.2 million, primarily related to travel expenses, and an increase of $0.1 million in personnel-related costs</w:t>
      </w:r>
      <w:r>
        <w:rPr>
          <w:color w:val="0094FF"/>
        </w:rPr>
        <w:t xml:space="preserve"> </w:t>
      </w:r>
      <w:r>
        <w:rPr>
          <w:rFonts w:ascii="Times New Roman;serif" w:hAnsi="Times New Roman;serif"/>
          <w:b w:val="false"/>
          <w:color w:val="000000"/>
          <w:sz w:val="20"/>
        </w:rPr>
        <w:t>due to increased stock-based compensation expense. These increases were partially offset by a decrease of $0.2 million in facilities and overhead expenses resulting from the rent abatement period starting in October 2025 associated with the December 2025 lease modification.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income, net for the three months ended June 30, 2026 was a $20.2 million expense, compared to $0.4 million of income for the three months ended June 30, 2025. The change was primarily due to a $20.9 million non-cash expense for the change in fair value of our derivative tranche liability associated with the Second Closing of the Private Placement. The derivative tranche liability was subsequently settled in connection with the Second Closing, which occurred on August 3, 2026. This expense was partially offset by a $0.4 million increase in interest income due to higher average invested cash balances during the three months ended June 30, 2026.</w:t>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(in thousands):</w:t>
      </w:r>
    </w:p>
    <w:tbl>
      <w:tblPr>
        <w:tblW w:w="8246" w:type="dxa"/>
        <w:jc w:val="left"/>
        <w:tblInd w:w="0" w:type="dxa"/>
        <w:tblLayout w:type="fixed"/>
        <w:tblCellMar>
          <w:top w:w="28" w:type="dxa"/>
          <w:left w:w="28" w:type="dxa"/>
          <w:bottom w:w="28" w:type="dxa"/>
          <w:right w:w="28" w:type="dxa"/>
        </w:tblCellMar>
      </w:tblPr>
      <w:tblGrid>
        <w:gridCol w:w="1516"/>
        <w:gridCol w:w="1336"/>
        <w:gridCol w:w="1347"/>
        <w:gridCol w:w="211"/>
        <w:gridCol w:w="796"/>
        <w:gridCol w:w="109"/>
        <w:gridCol w:w="109"/>
        <w:gridCol w:w="109"/>
        <w:gridCol w:w="109"/>
        <w:gridCol w:w="211"/>
        <w:gridCol w:w="796"/>
        <w:gridCol w:w="109"/>
        <w:gridCol w:w="109"/>
        <w:gridCol w:w="109"/>
        <w:gridCol w:w="109"/>
        <w:gridCol w:w="211"/>
        <w:gridCol w:w="79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(51,861)</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(26,841)</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Collaboration Revenue</w:t>
      </w:r>
    </w:p>
    <w:p>
      <w:pPr>
        <w:pStyle w:val="TextBody"/>
        <w:bidi w:val="0"/>
        <w:spacing w:lineRule="auto" w:line="268" w:before="0" w:after="240"/>
        <w:ind w:left="0" w:right="0" w:firstLine="720"/>
        <w:jc w:val="both"/>
        <w:rPr/>
      </w:pPr>
      <w:r>
        <w:rPr>
          <w:rFonts w:ascii="Times New Roman;serif" w:hAnsi="Times New Roman;serif"/>
          <w:b w:val="false"/>
          <w:color w:val="000000"/>
          <w:sz w:val="20"/>
        </w:rPr>
        <w:t>We recognized $3.1 million in research and collaboration revenue during the six months ended June 30, 2026, compared to $2.4 million during the six months ended June 30, 2025</w:t>
      </w:r>
      <w:r>
        <w:rPr>
          <w:rFonts w:ascii="Times New Roman;serif" w:hAnsi="Times New Roman;serif"/>
          <w:b w:val="false"/>
          <w:color w:val="0094FF"/>
          <w:sz w:val="20"/>
        </w:rPr>
        <w:t xml:space="preserve">. </w:t>
      </w:r>
      <w:r>
        <w:rPr>
          <w:rFonts w:ascii="Times New Roman;serif" w:hAnsi="Times New Roman;serif"/>
          <w:b w:val="false"/>
          <w:color w:val="000000"/>
          <w:sz w:val="20"/>
        </w:rPr>
        <w:t>Research and collaboration revenue recognized in the six months ended June 30, 2026 primarily related to our Research, Collaboration and License Agreement with GSK. Research and collaboration revenue recognized in the six months ended June 30, 2025 included $1.8 million related to our Collaboration and License Agreement with BioMarin and a $0.6 million milestone payment earned under the Fulcrum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R&amp;D expenses for the six months ended June 30, 2026 and 2025 (in thousands):</w:t>
      </w:r>
    </w:p>
    <w:tbl>
      <w:tblPr>
        <w:tblW w:w="7129" w:type="dxa"/>
        <w:jc w:val="left"/>
        <w:tblInd w:w="0" w:type="dxa"/>
        <w:tblLayout w:type="fixed"/>
        <w:tblCellMar>
          <w:top w:w="28" w:type="dxa"/>
          <w:left w:w="28" w:type="dxa"/>
          <w:bottom w:w="28" w:type="dxa"/>
          <w:right w:w="28" w:type="dxa"/>
        </w:tblCellMar>
      </w:tblPr>
      <w:tblGrid>
        <w:gridCol w:w="1206"/>
        <w:gridCol w:w="1058"/>
        <w:gridCol w:w="1065"/>
        <w:gridCol w:w="211"/>
        <w:gridCol w:w="721"/>
        <w:gridCol w:w="109"/>
        <w:gridCol w:w="109"/>
        <w:gridCol w:w="109"/>
        <w:gridCol w:w="109"/>
        <w:gridCol w:w="211"/>
        <w:gridCol w:w="721"/>
        <w:gridCol w:w="109"/>
        <w:gridCol w:w="109"/>
        <w:gridCol w:w="109"/>
        <w:gridCol w:w="109"/>
        <w:gridCol w:w="270"/>
        <w:gridCol w:w="597"/>
        <w:gridCol w:w="197"/>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were $21.0 million for the six months ended June 30, 2026, compared to $20.5 million for the six months ended June 30, 2025. The $0.5 million increase was primarily driven by higher personnel-related costs of $0.8 million due to increased stock-based compensation expense and an increase of $0.5 million in clinical and preclinical costs as we continue to advance CMP-002, including entering into contractual obligations with a contract research organization for services related to our planned Phase 1/2 clinical trial. These increases were partially offset by decreases of $0.7 million in professional and consulting fees, primarily due to lower outsourced clinical operations costs following the hiring of internal clinical operations personnel, and a decrease of $0.1 million in facilities-related and overhead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G&amp;A expenses for the six months ended June 30, 2026 and 2025 (in thousands):</w:t>
      </w:r>
    </w:p>
    <w:tbl>
      <w:tblPr>
        <w:tblW w:w="6920" w:type="dxa"/>
        <w:jc w:val="left"/>
        <w:tblInd w:w="0" w:type="dxa"/>
        <w:tblLayout w:type="fixed"/>
        <w:tblCellMar>
          <w:top w:w="28" w:type="dxa"/>
          <w:left w:w="28" w:type="dxa"/>
          <w:bottom w:w="28" w:type="dxa"/>
          <w:right w:w="28" w:type="dxa"/>
        </w:tblCellMar>
      </w:tblPr>
      <w:tblGrid>
        <w:gridCol w:w="1207"/>
        <w:gridCol w:w="1059"/>
        <w:gridCol w:w="1064"/>
        <w:gridCol w:w="211"/>
        <w:gridCol w:w="616"/>
        <w:gridCol w:w="109"/>
        <w:gridCol w:w="109"/>
        <w:gridCol w:w="109"/>
        <w:gridCol w:w="109"/>
        <w:gridCol w:w="211"/>
        <w:gridCol w:w="616"/>
        <w:gridCol w:w="109"/>
        <w:gridCol w:w="109"/>
        <w:gridCol w:w="109"/>
        <w:gridCol w:w="109"/>
        <w:gridCol w:w="270"/>
        <w:gridCol w:w="597"/>
        <w:gridCol w:w="19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G&amp;A expenses were $8.5 million for the six months ended June 30, 2026, compared to $8.0 million for the six months ended June 30, 2025. The increase of $0.6 million was primarily driven by personnel-related costs of $0.5 million</w:t>
      </w:r>
      <w:r>
        <w:rPr>
          <w:color w:val="0094FF"/>
        </w:rPr>
        <w:t xml:space="preserve"> </w:t>
      </w:r>
      <w:r>
        <w:rPr>
          <w:rFonts w:ascii="Times New Roman;serif" w:hAnsi="Times New Roman;serif"/>
          <w:b w:val="false"/>
          <w:color w:val="000000"/>
          <w:sz w:val="20"/>
        </w:rPr>
        <w:t>due to increased stock-based compensation expense and an increase of $0.3 million in professional and consulting fees. These increases were partially offset by a decrease of $0.4 million in facilities and overhead expenses due to the rent abatement period associated with the December 2025 lease modification starting in October 2025.</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six months ended June 30, 2026 was a $25.4 million expense, compared to $1.1 million income for the six months ended June 30, 2025. The change was primarily due to a $27.1 million non-cash expense for the change in fair value of our derivative tranche liability associated with the Second Closing of our Private Placement. The derivative tranche liability was subsequently settled in connection with the Second Closing, which occurred on August 3, 2026. This expense was partially offset by a $0.7 million increase in interest income due to higher average invested cash balances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not generated any revenue from product sales and have incurred significant operating losses and negative cash flows from operations. We expect to incur significant expenses and operating losses in the foreseeable future as we advance the development of product candidates. Through June 30, 2026, we have primarily funded our operations with proceeds from the sale of our equity securities and revenues from our license and collaboration agreements.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 shelf registration statement on Form S-3 (the “Shelf Registration Statement”). Pursuant to the Shelf Registration Statement, we may offer and sell securities having an aggregate public offering price of up to $300.0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the Shelf Registration Statement, we also entered into a sales agreement (the “Sales Agreement”) with Leerink Partners LLC, as sales agent, pursuant to which we may issue and sell shares of our common stock for a maximum aggregate offering price of up to $100.0 million, which is included in the $300.0 million of securities that may be offered pursuant to the Shelf Registration Statement. Pursuant to the Sales Agreement, we will pay the sales agent a commission rate of up to 3.0% of the gross proceeds from the sale of any shares of our common stock. We are not obligated to make any sales of shares of our common stock under the Sales Agreement. During the three and six months ended June 30, 2026 and the year ended December 31, 2025, we did not issue any shares of our common stock under the Sales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$86.4 million. Based on our current operating plan, we estimate that our cash and cash equivalents as of June 30, 2026, together with the net proceeds of $46.9 million received from the Second Closing under the Purchase Agreement in August 2026, will be sufficient to fund our operating expenses and capital expenditure requirements through the end of 2028. However, we have based this estimate on assumptions that may prove to be wrong, and we could deplete our capital resources sooner than we currently expect. Our future viability is dependent on our ability to generate cash from our operating activities or to raise additional capital to finance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There is no assurance that we will succeed in obtaining sufficient funding on terms acceptable to us to fund continuing operations, if at all.</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substantially in connection with our ongoing activities, particularly as we continue our development of, seek regulatory approval for, and potentially commercialize our product candidates and seek to discover and develop additional product candidates, conduct our ongoing and planned clinical trials and preclinical studies, continue our R&amp;D activities, hire additional personnel, expand and protect our intellectual property, and incur additional costs associated with being a public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and amount of our future funding requirements will depend on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initiation, type, number, scope, progress, expansions, results, costs and timing of preclinical studies and clinical trials of our product candidates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and timing of manufacturing for our product candidates, including commercial manufacturing at sufficient scale, if any product candidate is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timing and outcome of regulatory meetings and reviews of our product candidates or any future product candidates, including requirements of regulatory authorities in any additional jurisdictions in which we may seek approval and any future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obtaining, maintaining, enforcing and protecting our patents and other intellectual property and proprietary rights;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efforts to enhance operational systems and hire additional personnel to satisfy our obligations as a public company, including enhanced internal control over financial reporting;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associated with hiring additional personnel and consultants as our clinical and preclinical activities increase;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and payment of milestone, royalty or other payments we must make or may receive pursuant to our existing and potential future license or collaboration agreements with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and timing of establishing or securing sales and marketing capabilities if our product candidates or any future product candidate is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patients’ ability and willingness to pay out-of-pocket for any approved products in the absence of coverage and/or adequate reimbursement from third-party payors;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timing of establishing and maintaining collaborations, licenses and other similar arrangements;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costs associated with any products or technologies that we may in-license or acquire.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plans and other demands for our cash resources may change because of many factors currently unknown to us, and we may need to seek additional funds sooner than planned.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other committed sources of capital. Until such time, if ever, we can generate substantial product revenues, we expect to finance our operations through the sale of equity securities, debt financings, working capital lines of credit, strategic alliances and/or license arrangements, grant funding, interest income earned on invested cash balances or a combination of two or more of these sources. However, we may be unable to raise additional funds or enter into such other arrangements when needed, on favorable terms or at all. To the extent we raise additional capital through the sale of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 convertible debt securities, investors’ ownership interest will be diluted, and the terms of these securities may include liquidation or other preferences that adversely affect the rights of a common stockholder. Debt financing and preferred equity financing, if available, may involve agreements that include covenants limiting or restricting our ability to take specific actions, such as incurring additional debt,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and Other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other than those disclosed within Notes 4, 5, and 6 to our condensed consolidated financial statements, there have been no material changes to our contractual obligations and commitments from those described under “Management’s Discussion and Analysis of Financial Condition and Results of Operations”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 the Six Months Ended June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six months ended June 30, 2026 and 2025 (in thousands):</w:t>
      </w:r>
    </w:p>
    <w:tbl>
      <w:tblPr>
        <w:tblW w:w="7283" w:type="dxa"/>
        <w:jc w:val="left"/>
        <w:tblInd w:w="0" w:type="dxa"/>
        <w:tblLayout w:type="fixed"/>
        <w:tblCellMar>
          <w:top w:w="28" w:type="dxa"/>
          <w:left w:w="28" w:type="dxa"/>
          <w:bottom w:w="28" w:type="dxa"/>
          <w:right w:w="28" w:type="dxa"/>
        </w:tblCellMar>
      </w:tblPr>
      <w:tblGrid>
        <w:gridCol w:w="1693"/>
        <w:gridCol w:w="1491"/>
        <w:gridCol w:w="1495"/>
        <w:gridCol w:w="211"/>
        <w:gridCol w:w="796"/>
        <w:gridCol w:w="109"/>
        <w:gridCol w:w="109"/>
        <w:gridCol w:w="109"/>
        <w:gridCol w:w="109"/>
        <w:gridCol w:w="211"/>
        <w:gridCol w:w="79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(24,629)</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operating activities used $23.7 million of cash, primarily resulting from our net loss of $51.9 million and the timing of working capital fluctuations of $3.5 million, partially offset by non-cash charges of $31.7 million, including stock-based compensation expense, loss from the change in fair value of our derivative tranche liability, non-cash operating lease expense, and depreciation and amortization.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$24.6 million of cash, primarily resulting from our net loss of $25.0 million and the timing of working capital fluctuations of $3.3 million, partially offset by non-cash charges of $3.7 million, including stock-based compensation expense, non-cash operating lease expense, and depreciation and amortization.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each of the six months ended June 30, 2026 and 2025, cash used in operations was primarily related to clinical and preclinical efforts, compensation and benefits for our employees, consulting and other professional fees, and rent and overhead for our Cambridge and Boulder leases.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net cash used in investing activities was $0.1 million and $0.3 million, respectively, due to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$0.1 million, consisting of proceeds from the exercise of stock options and issuance of common stock under the 2024 Employee Stock Purchase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financing activities was $0.1 million, consisting of principal payments on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in the preparation of our condensed consolidated financial statements during the six months ended June 30, 2026 compared to those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and we may remain an emerging growth company until December 31, 2029 or until such earlier time that we are no longer an emerging growth company.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exemptions from the requirements of holding a nonbinding advisory vote on executive compensation and any golden parachute payments not previously approved and an exemption from compliance with the requirements regarding the communication of critical audit matters in the auditor’s report on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JOBS Act provides that an emerging growth company can take advantage of an extended transition period for complying with new or revised accounting standards. We have elected to avail ourselves of this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As a result of this election, our financial statements may not be comparable to those of companies that are not emerging growth companies.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to occur of: (i) the last day of the fiscal year in which we have at least $1.235 billion in annual revenue; (ii)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(iii) the date on which we have issued more than $1.0 billion in nonconvertible debt securities during the prior three-year period; and (iv) December 31, 2029.</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meaning that the market value of our shares held by non-affiliates is less than $700.0 million and our annual revenue was less than $100.0 million during the most recently completed fiscal year.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a smaller reporting company.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our principal financial officer, evaluated the effectiveness of our disclosure controls and procedures as defined in Rules 13a-15(e) and 15d-15(e) under the Securities Exchange Act of 1934 as of June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factors discussed in Part I, “Item 1A. Risk Factors” in our Annual Report on Form 10-K for the year ended December 31, 2025 (the “2025 Form 10-K”), which could materially affect our business, financial condition or future results. The risk factors disclosure in our 2025 Form 10-K is qualified by the information that is described in this Quarterly Report on Form 10-Q. The risks described in our 2025 Form 10-K are not our only risks. Additional risks and uncertainties not presently known to us or that we currently believe to be immaterial also may materially adversely affect our business, financial condition or future results. There have been no material changes to our risk factors as previously disclosed in the 2025 Form 10-K except as follows: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product candidates and any future product candidates we may develop.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product candidates.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$86.4 million. Based on our current operating plan, we estimate that our cash and cash equivalents as of June 30, 2026, together with the net proceeds of $46.9 million received from the Second Closing of the Private Placement in August 2026, will be sufficient to fund our operating expenses and capital expenditure requirements through the end of 2028. However, we have based this estimate on assumptions that may prove to be wrong, and we could deplete our capital resources sooner than we currently expect. Our operating plans and other demands on our cash resources may change as a result of many factors currently unknown to us, and we do not expect that our existing cash and cash equivalents will be sufficient to complete development of any of our product candidates, or any future product candidates we may identify, and we will require substantial capital in order to advance our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We cannot be certain that additional funding will be available on acceptable terms, or at all.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initiation, type, number, scope, progress, expansions, results, costs and timing of preclinical studies and clinical trials of CMP-002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and timing of manufacturing for our product candidates, including commercial manufacturing at sufficient scale, if any product candidate is approved;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timing and outcome of regulatory meetings and reviews of our product candidates or any future product candidates, including requirements of regulatory authorities in any additional jurisdictions in which we may seek approval and any future product candidates;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of obtaining, maintaining, enforcing and protecting our patents and other intellectual property and proprietary rights;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associated with hiring additional personnel and consultants as our clinical and preclinical activities increase;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timing and payment of milestone, royalty or other payments we must make or may receive pursuant to our existing and potential future license or collaboration agreements with third parties;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and timing of establishing or securing sales and marketing capabilities if our product candidates or any product candidate is approved;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patients’ ability and willingness to pay out-of-pocket for any approved products in the absence of coverage and/or adequate reimbursement from third-party payors;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terms and timing of establishing and maintaining collaborations, licenses, and other similar arrangements;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costs associated with any products or technologies that we may in-license or acquire.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Conducting clinical trials and preclinical studies and discovering potential product candidates using our RAP Platform is an expensive and uncertain process, and we may never generate the necessary data or results required to obtain regulatory approval and commercialize our product candidates. In addition, our product candidates, if approved, may not achieve commercial success. Our commercial revenue, if any, will initially be derived from sales of products that we do not expect to be commercially available for many years, if at all.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Research and Development of Our Product Candidates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are early in our development efforts. Our product candidates are in varying stages of development. As a result, it will be many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early in our development efforts and our lead product candidate has not yet entered clinical trials. We have focused our efforts to date on developing our RAP Platform, identifying our programs and commencing the preclinical and clinical development of our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received clearance from Australia’s Therapeutic Goods Administration and Argentina’s Administración Nacional de Medicamentos, Alimentos y Tecnología Médica to initiate our Phase 1/2 clinical trial of CMP-002 in individuals with SYNGAP1, and we have submitted additional regulatory filings in the European Union and United Kingdom to support broader enrollment across multiple sites. We intend to initiate the Phase 1/2 clinical trial in the fourth quarter of 2026. In each jurisdiction, clinical trials are subject to applicable regulatory requirements and must be reviewed and authorized by the applicable regulatory authorities and reviewed and approved by the applicable ethics committees or institutional review boards prior to initiation and as amended during the course of the trial. Commencing clinical trials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United States is subject to acceptance by the U.S. Food and Drug Administration (the “FDA”) of an investigational new drug (“IND”) application and finalizing the trial design based on discussions with the FDA and other regulatory authorities. Commencing clinical trials outside the United States similarly requires the submission and authorization of comparable clinical trial applications or notifications, and compliance with local requirements relating to, among other things, trial conduct, informed consent, safety reporting, importation and handling of investigational product, and data integrity. In the event that the FDA or any comparable foreign regulatory authority or ethics committee requires us to complete additional preclinical studies or we are required to satisfy other requests prior to commencing clinical trials, the start of our planned Phase 1/2 CMP-002 clinical trial and any future clinical trials may be delayed in the relevant jurisdiction. Even after we receive and incorporate guidance from applicable regulatory authorities, such authorities could disagree that we have satisfied their requirements to commence any clinical trial or continue or change their position on the acceptability of our trial design or the clinical endpoints selected, which may require us to complete additional preclinical studies or clinical trials or impose stricter approval conditions than we currently expect, which could delay the start or completion of such clinical trials in the relevant jurisdiction or require more capital resources than we currently anticipate to start or complete such clinical trials.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Commercialization of any of our current or future product candidates will require preclinical and clinical development; regulatory and marketing approval issued by regulators in any jurisdiction where we seek to commercialize such product candidates, such as the FDA and the European Commission (the “EC”) following a favorable assessment performed by the European Medicines Agency (the “EMA”); manufacturing supply, capacity and expertise; a commercial organization; and significant marketing efforts. The success of any of our current or future product candidates will depend on many factors, including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timely and successful completion of preclinical studies;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acceptance of INDs or comparable foreign applications that allow commencement of clinical trials or future clinical trials for any product candidates we may develop;</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 enrollment and completion of clinical trials, including under the FDA’s current Good Clinical Practices, current Good Laboratory Practices, and any additional regulatory requirements from foreign regulatory authorities;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positive results from our clinical trials that support a finding of safety and effectiveness and an acceptable risk-benefit profile in the intended populations;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receipt of marketing approvals from applicable regulatory authorities;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establishment of arrangements through our own facilities or with third-party manufacturers for clinical supply and, where applicable, commercial manufacturing capabilities;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commercial launch of any product candidates we may develop, if approved, whether alone or in collaboration with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obtaining and maintaining third-party coverage and adequate reimbursement;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competing against other therapies;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acceptance of the benefits and use of our product candidates we may develop, including their method of administration, if and when approved, by patients the medical community and third-party payors;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maintaining a continued acceptable safety profile of our products following regulatory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into and through clinical development, obtain regulatory approval and ultimately commercialize our product candidates, or experience significant delays in doing so, our business will be materially harmed.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(a)Sales of Unregistered Securities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granted stock options to nine new employees as material inducements to their employment with the Company in accordance with Nasdaq Listing Rule 5635(c)(4). These awards cover an aggregate of 87,000 shares of our common stock and have a weighted average exercise price of $4.29 per share. Of these options, 39,000 were granted under the Inducement Plan, and 48,000 were granted as inducement awards prior to the adoption of the Inducement Plan. These options were granted in accordance with Section 4(a)(2) of the Securities Act of 1933, as amended (the “Securities Act”). The options have a ten-year term and vest over four years, with 25% of the shares underlying the option award vesting on the one-year anniversary of the applicable employee’s new hire date and the remaining 75% of the shares underlying the award vesting monthly thereafter for three years. Vesting of each option is subject to the employee’s continued service with our company through the applicable vesting date. We intend to file a registration statement on Form S-8 to register the shares of common stock underlying these options prior to the time at which these options become exercisable.</w:t>
      </w:r>
    </w:p>
    <w:p>
      <w:pPr>
        <w:pStyle w:val="TextBody"/>
        <w:bidi w:val="0"/>
        <w:spacing w:before="0" w:after="0"/>
        <w:ind w:left="0" w:right="0" w:firstLine="720"/>
        <w:jc w:val="left"/>
        <w:rPr/>
      </w:pPr>
      <w:r>
        <w:rPr/>
      </w:r>
    </w:p>
    <w:p>
      <w:pPr>
        <w:pStyle w:val="TextBody"/>
        <w:bidi w:val="0"/>
        <w:spacing w:lineRule="auto" w:line="288" w:before="0" w:after="240"/>
        <w:ind w:left="0" w:right="0" w:hanging="270"/>
        <w:jc w:val="both"/>
        <w:rPr>
          <w:rFonts w:ascii="Times New Roman;serif" w:hAnsi="Times New Roman;serif"/>
          <w:b/>
          <w:color w:val="000000"/>
          <w:sz w:val="20"/>
        </w:rPr>
      </w:pPr>
      <w:r>
        <w:rPr>
          <w:rFonts w:ascii="Times New Roman;serif" w:hAnsi="Times New Roman;serif"/>
          <w:b/>
          <w:color w:val="000000"/>
          <w:sz w:val="20"/>
        </w:rPr>
        <w:t>(b)Use of Proceeds from Public Offering of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10, 2024, our Registration Statement on Form S-1, as amended (File No. 333-282241), was declared effective in connection with our IPO, pursuant to which we sold an aggregate of 6,820,000 shares of our common stock at a price to the public of $11.00 per share. The underwriters of our IPO were J.P. Morgan Securities LLC, Leerink Partners LLC, Piper Sandler &amp; Co. and William Blair &amp; Company, L.L.C.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IPO closed on October 15, 2024. In connection with the IPO, we granted the underwriters a 30-day option to purchase an additional 1,023,000 shares of common stock. On November 1, 2024, pursuant to the partial exercise by the underwriters of such option, we issued an additional 643,762 shares of common stock. We received aggregate gross proceeds of $82.1 million in connection with the IPO and subsequent exercise of the underwriters’ option and aggregate net proceeds of $76.4 million after deducting underwriting discounts and commissions payable by us. In connection with our IPO, no payments were made by us to directors, officers or persons owning ten percent or more of our ordinary shares or to their associates or to our affiliates. There has been no material change in the planned use of proceeds from our IPO as described in our prospectus filed pursuant to Rule 424(b)(4) under the Securities Act with the SEC on October 11, 2024. </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(c)Issuer Purchases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“Rule 10b5-1 plans” or “non-Rule 10b5-1 trading arrangements,” as each term is defined in Item 408(a) of Regulation S-K, were adopted, modified, or terminated by officers or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6"/>
        <w:gridCol w:w="287"/>
        <w:gridCol w:w="288"/>
        <w:gridCol w:w="109"/>
        <w:gridCol w:w="109"/>
        <w:gridCol w:w="109"/>
        <w:gridCol w:w="2682"/>
        <w:gridCol w:w="2593"/>
        <w:gridCol w:w="370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Fifth Amended and Restated Certificate of Incorporation of CAMP4 Therapeutics Corporation (incorporated by reference to Exhibit 3.1 to the Form 8-K filed on October 15, 2024, File No. 001-42365)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Amended and Restated Bylaws of CAMP4 Therapeutics Corporation (incorporated by reference to Exhibit 3.2 to the Form 8-K filed on October 15, 2024, File No. 001-42365)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80"/>
                  <w:sz w:val="20"/>
                  <w:u w:val="single"/>
                </w:rPr>
                <w:t>Amendment No. 1 to the CAMP4 Therapeutics Corporation 2024 Equity Incentive Plan</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 xml:space="preserve">(incorporated by reference to Exhibit </w:t>
              </w:r>
            </w:hyperlink>
            <w:hyperlink r:id="rId8">
              <w:r>
                <w:rPr>
                  <w:rStyle w:val="InternetLink"/>
                  <w:rFonts w:ascii="Times New Roman;serif" w:hAnsi="Times New Roman;serif"/>
                  <w:b w:val="false"/>
                  <w:color w:val="000080"/>
                  <w:sz w:val="20"/>
                  <w:u w:val="single"/>
                </w:rPr>
                <w:t>10</w:t>
              </w:r>
            </w:hyperlink>
            <w:hyperlink r:id="rId9">
              <w:r>
                <w:rPr>
                  <w:rStyle w:val="InternetLink"/>
                  <w:rFonts w:ascii="Times New Roman;serif" w:hAnsi="Times New Roman;serif"/>
                  <w:b w:val="false"/>
                  <w:color w:val="000080"/>
                  <w:sz w:val="20"/>
                  <w:u w:val="single"/>
                </w:rPr>
                <w:t xml:space="preserve">.1 to the Form 8-K filed on </w:t>
              </w:r>
            </w:hyperlink>
            <w:hyperlink r:id="rId10">
              <w:r>
                <w:rPr>
                  <w:rStyle w:val="InternetLink"/>
                  <w:rFonts w:ascii="Times New Roman;serif" w:hAnsi="Times New Roman;serif"/>
                  <w:b w:val="false"/>
                  <w:color w:val="000080"/>
                  <w:sz w:val="20"/>
                  <w:u w:val="single"/>
                </w:rPr>
                <w:t>June 12, 2026</w:t>
              </w:r>
            </w:hyperlink>
            <w:hyperlink r:id="rId11">
              <w:r>
                <w:rPr>
                  <w:rStyle w:val="InternetLink"/>
                  <w:rFonts w:ascii="Times New Roman;serif" w:hAnsi="Times New Roman;serif"/>
                  <w:b w:val="false"/>
                  <w:color w:val="000080"/>
                  <w:sz w:val="20"/>
                  <w:u w:val="single"/>
                </w:rPr>
                <w:t>, File No. 001-42365)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80"/>
                  <w:sz w:val="20"/>
                  <w:u w:val="single"/>
                </w:rPr>
                <w:t>CAMP4 Therapeutics Corporation 2026 Inducement Plan</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(incorporated by reference to Exhibit 10.</w:t>
              </w:r>
            </w:hyperlink>
            <w:hyperlink r:id="rId15">
              <w:r>
                <w:rPr>
                  <w:rStyle w:val="InternetLink"/>
                  <w:rFonts w:ascii="Times New Roman;serif" w:hAnsi="Times New Roman;serif"/>
                  <w:b w:val="false"/>
                  <w:color w:val="000080"/>
                  <w:sz w:val="20"/>
                  <w:u w:val="single"/>
                </w:rPr>
                <w:t>2</w:t>
              </w:r>
            </w:hyperlink>
            <w:hyperlink r:id="rId16">
              <w:r>
                <w:rPr>
                  <w:rStyle w:val="InternetLink"/>
                  <w:rFonts w:ascii="Times New Roman;serif" w:hAnsi="Times New Roman;serif"/>
                  <w:b w:val="false"/>
                  <w:color w:val="000080"/>
                  <w:sz w:val="20"/>
                  <w:u w:val="single"/>
                </w:rPr>
                <w:t xml:space="preserve"> to the Form 8-K filed on June 12, 2026, File No. 001-42365)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80"/>
                  <w:sz w:val="20"/>
                  <w:u w:val="single"/>
                </w:rPr>
                <w:t>Form of Non-Statutory Stock Option Agreement under the CAMP4 Therapeutics Corporation 2026 Inducement Plan</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(incorporated by reference to Exhibit 10.</w:t>
              </w:r>
            </w:hyperlink>
            <w:hyperlink r:id="rId20">
              <w:r>
                <w:rPr>
                  <w:rStyle w:val="InternetLink"/>
                  <w:rFonts w:ascii="Times New Roman;serif" w:hAnsi="Times New Roman;serif"/>
                  <w:b w:val="false"/>
                  <w:color w:val="000080"/>
                  <w:sz w:val="20"/>
                  <w:u w:val="single"/>
                </w:rPr>
                <w:t>3</w:t>
              </w:r>
            </w:hyperlink>
            <w:hyperlink r:id="rId21">
              <w:r>
                <w:rPr>
                  <w:rStyle w:val="InternetLink"/>
                  <w:rFonts w:ascii="Times New Roman;serif" w:hAnsi="Times New Roman;serif"/>
                  <w:b w:val="false"/>
                  <w:color w:val="000080"/>
                  <w:sz w:val="20"/>
                  <w:u w:val="single"/>
                </w:rPr>
                <w:t xml:space="preserve"> to the Form 8-K filed on June 12, 2026, File No. 001-42365)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630ex311certification.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630ex312certification.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630ex321certification.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0630ex322certification.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Filed herewith.</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9d72c4b90944a9ebb57a6999c6aaa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duly authorized.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4991" w:type="dxa"/>
        <w:jc w:val="left"/>
        <w:tblInd w:w="0" w:type="dxa"/>
        <w:tblLayout w:type="fixed"/>
        <w:tblCellMar>
          <w:top w:w="28" w:type="dxa"/>
          <w:left w:w="28" w:type="dxa"/>
          <w:bottom w:w="28" w:type="dxa"/>
          <w:right w:w="28" w:type="dxa"/>
        </w:tblCellMar>
      </w:tblPr>
      <w:tblGrid>
        <w:gridCol w:w="124"/>
        <w:gridCol w:w="109"/>
        <w:gridCol w:w="109"/>
        <w:gridCol w:w="480"/>
        <w:gridCol w:w="480"/>
        <w:gridCol w:w="480"/>
        <w:gridCol w:w="935"/>
        <w:gridCol w:w="935"/>
        <w:gridCol w:w="1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61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00"/>
        <w:gridCol w:w="1500"/>
        <w:gridCol w:w="21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Gold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Gold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CERTIFICATION PURSUANT TO RULES 13a-14(a) AND 15d-14(a) UNDER THE SECURITIES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EXCHANGE ACT OF 1934, AS ADOPTED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 Josh Mandel-Brehm, certify that:</w:t>
      </w:r>
    </w:p>
    <w:p>
      <w:pPr>
        <w:pStyle w:val="TextBody"/>
        <w:bidi w:val="0"/>
        <w:spacing w:before="0" w:after="0"/>
        <w:jc w:val="left"/>
        <w:rPr/>
      </w:pPr>
      <w:r>
        <w:rPr/>
      </w:r>
    </w:p>
    <w:p>
      <w:pPr>
        <w:pStyle w:val="TextBody"/>
        <w:bidi w:val="0"/>
        <w:spacing w:lineRule="auto" w:line="288"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CAMP4 Therapeutics Corporation;</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26"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center"/>
        <w:rPr/>
      </w:pPr>
      <w:r>
        <w:r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310" w:type="dxa"/>
        <w:jc w:val="left"/>
        <w:tblInd w:w="0" w:type="dxa"/>
        <w:tblLayout w:type="fixed"/>
        <w:tblCellMar>
          <w:top w:w="28" w:type="dxa"/>
          <w:left w:w="28" w:type="dxa"/>
          <w:bottom w:w="28" w:type="dxa"/>
          <w:right w:w="28" w:type="dxa"/>
        </w:tblCellMar>
      </w:tblPr>
      <w:tblGrid>
        <w:gridCol w:w="647"/>
        <w:gridCol w:w="566"/>
        <w:gridCol w:w="572"/>
        <w:gridCol w:w="115"/>
        <w:gridCol w:w="115"/>
        <w:gridCol w:w="115"/>
        <w:gridCol w:w="929"/>
        <w:gridCol w:w="929"/>
        <w:gridCol w:w="1322"/>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Dated: August 13, 2026</w:t>
            </w:r>
          </w:p>
        </w:tc>
        <w:tc>
          <w:tcPr>
            <w:tcW w:w="35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By:</w:t>
            </w:r>
          </w:p>
        </w:tc>
        <w:tc>
          <w:tcPr>
            <w:tcW w:w="31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/s/ Josh Mandel-Brehm</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6"/>
              </w:rPr>
            </w:pPr>
            <w:r>
              <w:rPr>
                <w:rFonts w:ascii="Times New Roman;serif" w:hAnsi="Times New Roman;serif"/>
                <w:b w:val="false"/>
                <w:color w:val="000000"/>
                <w:sz w:val="16"/>
              </w:rPr>
              <w:t>Name: Josh Mandel-Brehm</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tLeast" w:line="191" w:before="0" w:after="160"/>
              <w:jc w:val="left"/>
              <w:rPr>
                <w:rFonts w:ascii="Times New Roman;serif" w:hAnsi="Times New Roman;serif"/>
                <w:b w:val="false"/>
                <w:color w:val="000000"/>
                <w:sz w:val="16"/>
              </w:rPr>
            </w:pPr>
            <w:r>
              <w:rPr>
                <w:rFonts w:ascii="Times New Roman;serif" w:hAnsi="Times New Roman;serif"/>
                <w:b w:val="false"/>
                <w:color w:val="000000"/>
                <w:sz w:val="16"/>
              </w:rPr>
              <w:t>Title: President and Chief Executive Officer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(Principal Executive Officer)</w:t>
            </w:r>
          </w:p>
        </w:tc>
      </w:tr>
      <w:tr>
        <w:trPr/>
        <w:tc>
          <w:tcPr>
            <w:tcW w:w="17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CERTIFICATION PURSUANT TO RULES 13a-14(a) AND 15d-14(a) UNDER THE SECURITIES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EXCHANGE ACT OF 1934, AS ADOPTED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 Kelly Gold, certify that:</w:t>
      </w:r>
    </w:p>
    <w:p>
      <w:pPr>
        <w:pStyle w:val="TextBody"/>
        <w:bidi w:val="0"/>
        <w:spacing w:before="0" w:after="0"/>
        <w:jc w:val="left"/>
        <w:rPr/>
      </w:pPr>
      <w:r>
        <w:rPr/>
      </w:r>
    </w:p>
    <w:p>
      <w:pPr>
        <w:pStyle w:val="TextBody"/>
        <w:bidi w:val="0"/>
        <w:spacing w:lineRule="auto" w:line="288"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CAMP4 Therapeutics Corporation;</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26"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584" w:type="dxa"/>
        <w:jc w:val="left"/>
        <w:tblInd w:w="0" w:type="dxa"/>
        <w:tblLayout w:type="fixed"/>
        <w:tblCellMar>
          <w:top w:w="28" w:type="dxa"/>
          <w:left w:w="28" w:type="dxa"/>
          <w:bottom w:w="28" w:type="dxa"/>
          <w:right w:w="28" w:type="dxa"/>
        </w:tblCellMar>
      </w:tblPr>
      <w:tblGrid>
        <w:gridCol w:w="647"/>
        <w:gridCol w:w="566"/>
        <w:gridCol w:w="572"/>
        <w:gridCol w:w="115"/>
        <w:gridCol w:w="115"/>
        <w:gridCol w:w="115"/>
        <w:gridCol w:w="1302"/>
        <w:gridCol w:w="1302"/>
        <w:gridCol w:w="1850"/>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Dated: August 13, 2026</w:t>
            </w:r>
          </w:p>
        </w:tc>
        <w:tc>
          <w:tcPr>
            <w:tcW w:w="4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By:</w:t>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/s/ Kelly Gold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6"/>
              </w:rPr>
            </w:pPr>
            <w:r>
              <w:rPr>
                <w:rFonts w:ascii="Times New Roman;serif" w:hAnsi="Times New Roman;serif"/>
                <w:b w:val="false"/>
                <w:color w:val="000000"/>
                <w:sz w:val="16"/>
              </w:rPr>
              <w:t>Name: Kelly Gold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Title: Chief Financial Officer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(Principal Financial Officer and Principal Accounting Officer)</w:t>
            </w:r>
          </w:p>
        </w:tc>
      </w:tr>
      <w:tr>
        <w:trPr/>
        <w:tc>
          <w:tcPr>
            <w:tcW w:w="17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 1350, as created by Section 906 of the Sarbanes-Oxley Act of 2002, the undersigned officer of CAMP4 Therapeutics Corporation (the “Company”) hereby certifies, to the best of my knowledge, that:</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(i)the accompanying Quarterly Report on Form 10-Q of the Company for the fiscal quarter ended June 30, 2026 (the “Report”) fully complies with the requirements of Section 13(a) or Section 15(d) of the Securities Exchange Act of 1934; and</w:t>
      </w:r>
    </w:p>
    <w:p>
      <w:pPr>
        <w:pStyle w:val="TextBody"/>
        <w:bidi w:val="0"/>
        <w:spacing w:before="0" w:after="0"/>
        <w:jc w:val="left"/>
        <w:rPr/>
      </w:pPr>
      <w:r>
        <w:rPr/>
      </w:r>
    </w:p>
    <w:p>
      <w:pPr>
        <w:pStyle w:val="TextBody"/>
        <w:bidi w:val="0"/>
        <w:spacing w:lineRule="auto" w:line="326"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29" w:type="dxa"/>
        <w:jc w:val="left"/>
        <w:tblInd w:w="0" w:type="dxa"/>
        <w:tblLayout w:type="fixed"/>
        <w:tblCellMar>
          <w:top w:w="28" w:type="dxa"/>
          <w:left w:w="28" w:type="dxa"/>
          <w:bottom w:w="28" w:type="dxa"/>
          <w:right w:w="28" w:type="dxa"/>
        </w:tblCellMar>
      </w:tblPr>
      <w:tblGrid>
        <w:gridCol w:w="662"/>
        <w:gridCol w:w="581"/>
        <w:gridCol w:w="587"/>
        <w:gridCol w:w="120"/>
        <w:gridCol w:w="120"/>
        <w:gridCol w:w="120"/>
        <w:gridCol w:w="948"/>
        <w:gridCol w:w="948"/>
        <w:gridCol w:w="134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Dated: August 13, 2026</w:t>
            </w:r>
          </w:p>
        </w:tc>
        <w:tc>
          <w:tcPr>
            <w:tcW w:w="35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Josh Mandel-Brehm</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8"/>
              </w:rPr>
            </w:pPr>
            <w:r>
              <w:rPr>
                <w:rFonts w:ascii="Times New Roman;serif" w:hAnsi="Times New Roman;serif"/>
                <w:b w:val="false"/>
                <w:color w:val="000000"/>
                <w:sz w:val="18"/>
              </w:rPr>
              <w:t>Name: Josh Mandel-Brehm</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Title: President and 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 1350, as created by Section 906 of the Sarbanes-Oxley Act of 2002, the undersigned officer of CAMP4 Therapeutics Corporation (the “Company”) hereby certifies, to the best of my knowledge, that:</w:t>
      </w:r>
    </w:p>
    <w:p>
      <w:pPr>
        <w:pStyle w:val="TextBody"/>
        <w:bidi w:val="0"/>
        <w:spacing w:before="0" w:after="0"/>
        <w:jc w:val="left"/>
        <w:rPr/>
      </w:pPr>
      <w:r>
        <w:rPr/>
      </w:r>
    </w:p>
    <w:p>
      <w:pPr>
        <w:pStyle w:val="TextBody"/>
        <w:bidi w:val="0"/>
        <w:spacing w:lineRule="auto" w:line="309"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(i)the accompanying Quarterly Report on Form 10-Q of the Company for the fiscal quarter ended June 30, 2026 (the “Report”) fully complies with the requirements of Section 13(a) or Section 15(d) of the Securities Exchange Act of 1934; and</w:t>
      </w:r>
    </w:p>
    <w:p>
      <w:pPr>
        <w:pStyle w:val="TextBody"/>
        <w:bidi w:val="0"/>
        <w:spacing w:before="0" w:after="0"/>
        <w:jc w:val="left"/>
        <w:rPr/>
      </w:pPr>
      <w:r>
        <w:rPr/>
      </w:r>
    </w:p>
    <w:p>
      <w:pPr>
        <w:pStyle w:val="TextBody"/>
        <w:bidi w:val="0"/>
        <w:spacing w:lineRule="auto" w:line="326"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p>
      <w:pPr>
        <w:pStyle w:val="TextBody"/>
        <w:bidi w:val="0"/>
        <w:spacing w:before="0" w:after="0"/>
        <w:jc w:val="left"/>
        <w:rPr/>
      </w:pPr>
      <w:r>
        <w:rPr/>
      </w:r>
    </w:p>
    <w:tbl>
      <w:tblPr>
        <w:tblW w:w="6734" w:type="dxa"/>
        <w:jc w:val="left"/>
        <w:tblInd w:w="0" w:type="dxa"/>
        <w:tblLayout w:type="fixed"/>
        <w:tblCellMar>
          <w:top w:w="28" w:type="dxa"/>
          <w:left w:w="28" w:type="dxa"/>
          <w:bottom w:w="28" w:type="dxa"/>
          <w:right w:w="28" w:type="dxa"/>
        </w:tblCellMar>
      </w:tblPr>
      <w:tblGrid>
        <w:gridCol w:w="662"/>
        <w:gridCol w:w="581"/>
        <w:gridCol w:w="587"/>
        <w:gridCol w:w="120"/>
        <w:gridCol w:w="120"/>
        <w:gridCol w:w="120"/>
        <w:gridCol w:w="1324"/>
        <w:gridCol w:w="1324"/>
        <w:gridCol w:w="189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Dated: August 13, 2026</w:t>
            </w:r>
          </w:p>
        </w:tc>
        <w:tc>
          <w:tcPr>
            <w:tcW w:w="4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Kelly Gold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8"/>
              </w:rPr>
            </w:pPr>
            <w:r>
              <w:rPr>
                <w:rFonts w:ascii="Times New Roman;serif" w:hAnsi="Times New Roman;serif"/>
                <w:b w:val="false"/>
                <w:color w:val="000000"/>
                <w:sz w:val="18"/>
              </w:rPr>
              <w:t>Name: Kelly Gold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Title: 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Principal Accounting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36730/000110465924108583/tm2426167d1_ex3-1.htm" TargetMode="External"/><Relationship Id="rId4" Type="http://schemas.openxmlformats.org/officeDocument/2006/relationships/hyperlink" Target="https://www.sec.gov/Archives/edgar/data/1736730/000110465924108583/tm2426167d1_ex3-2.htm" TargetMode="External"/><Relationship Id="rId5" Type="http://schemas.openxmlformats.org/officeDocument/2006/relationships/hyperlink" Target="https://www.sec.gov/Archives/edgar/data/1736730/000162828026042846/exhibit101-amendmentno1to2.htm" TargetMode="External"/><Relationship Id="rId6" Type="http://schemas.openxmlformats.org/officeDocument/2006/relationships/hyperlink" Target="https://www.sec.gov/Archives/edgar/data/1736730/000162828026042846/exhibit101-amendmentno1to2.htm" TargetMode="External"/><Relationship Id="rId7" Type="http://schemas.openxmlformats.org/officeDocument/2006/relationships/hyperlink" Target="https://www.sec.gov/Archives/edgar/data/1736730/000162828026042846/exhibit101-amendmentno1to2.htm" TargetMode="External"/><Relationship Id="rId8" Type="http://schemas.openxmlformats.org/officeDocument/2006/relationships/hyperlink" Target="https://www.sec.gov/Archives/edgar/data/1736730/000162828026042846/exhibit101-amendmentno1to2.htm" TargetMode="External"/><Relationship Id="rId9" Type="http://schemas.openxmlformats.org/officeDocument/2006/relationships/hyperlink" Target="https://www.sec.gov/Archives/edgar/data/1736730/000162828026042846/exhibit101-amendmentno1to2.htm" TargetMode="External"/><Relationship Id="rId10" Type="http://schemas.openxmlformats.org/officeDocument/2006/relationships/hyperlink" Target="https://www.sec.gov/Archives/edgar/data/1736730/000162828026042846/exhibit101-amendmentno1to2.htm" TargetMode="External"/><Relationship Id="rId11" Type="http://schemas.openxmlformats.org/officeDocument/2006/relationships/hyperlink" Target="https://www.sec.gov/Archives/edgar/data/1736730/000162828026042846/exhibit101-amendmentno1to2.htm" TargetMode="External"/><Relationship Id="rId12" Type="http://schemas.openxmlformats.org/officeDocument/2006/relationships/hyperlink" Target="https://www.sec.gov/Archives/edgar/data/1736730/000162828026042846/exhibit102-camp4therapeuti.htm" TargetMode="External"/><Relationship Id="rId13" Type="http://schemas.openxmlformats.org/officeDocument/2006/relationships/hyperlink" Target="https://www.sec.gov/Archives/edgar/data/1736730/000162828026042846/exhibit102-camp4therapeuti.htm" TargetMode="External"/><Relationship Id="rId14" Type="http://schemas.openxmlformats.org/officeDocument/2006/relationships/hyperlink" Target="https://www.sec.gov/Archives/edgar/data/1736730/000162828026042846/exhibit102-camp4therapeuti.htm" TargetMode="External"/><Relationship Id="rId15" Type="http://schemas.openxmlformats.org/officeDocument/2006/relationships/hyperlink" Target="https://www.sec.gov/Archives/edgar/data/1736730/000162828026042846/exhibit102-camp4therapeuti.htm" TargetMode="External"/><Relationship Id="rId16" Type="http://schemas.openxmlformats.org/officeDocument/2006/relationships/hyperlink" Target="https://www.sec.gov/Archives/edgar/data/1736730/000162828026042846/exhibit102-camp4therapeuti.htm" TargetMode="External"/><Relationship Id="rId17" Type="http://schemas.openxmlformats.org/officeDocument/2006/relationships/hyperlink" Target="https://www.sec.gov/Archives/edgar/data/1736730/000162828026042846/exhibit103-camp4xinducemen.htm" TargetMode="External"/><Relationship Id="rId18" Type="http://schemas.openxmlformats.org/officeDocument/2006/relationships/hyperlink" Target="https://www.sec.gov/Archives/edgar/data/1736730/000162828026042846/exhibit103-camp4xinducemen.htm" TargetMode="External"/><Relationship Id="rId19" Type="http://schemas.openxmlformats.org/officeDocument/2006/relationships/hyperlink" Target="https://www.sec.gov/Archives/edgar/data/1736730/000162828026042846/exhibit103-camp4xinducemen.htm" TargetMode="External"/><Relationship Id="rId20" Type="http://schemas.openxmlformats.org/officeDocument/2006/relationships/hyperlink" Target="https://www.sec.gov/Archives/edgar/data/1736730/000162828026042846/exhibit103-camp4xinducemen.htm" TargetMode="External"/><Relationship Id="rId21" Type="http://schemas.openxmlformats.org/officeDocument/2006/relationships/hyperlink" Target="https://www.sec.gov/Archives/edgar/data/1736730/000162828026042846/exhibit103-camp4xinducemen.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20672</Words>
  <Characters>116451</Characters>
  <CharactersWithSpaces>135938</CharactersWithSpaces>
  <Paragraphs>1763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