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312026_090809.xml.htm"/>
      <w:bookmarkStart w:id="1" w:name="ksform408312026_0908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4"/>
        <w:gridCol w:w="933"/>
        <w:gridCol w:w="803"/>
        <w:gridCol w:w="619"/>
        <w:gridCol w:w="338"/>
        <w:gridCol w:w="1009"/>
        <w:gridCol w:w="406"/>
        <w:gridCol w:w="642"/>
        <w:gridCol w:w="1242"/>
        <w:gridCol w:w="954"/>
        <w:gridCol w:w="14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w:t>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2,033,270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(1)</w:t>
            </w:r>
          </w:p>
        </w:tc>
      </w:tr>
      <w:tr>
        <w:trPr/>
        <w:tc>
          <w:tcPr>
            <w:tcW w:w="18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2,941,176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VII, L.P.</w:t>
            </w:r>
            <w:r>
              <w:rPr>
                <w:rFonts w:ascii="Times;serif" w:hAnsi="Times;serif"/>
                <w:color w:val="008000"/>
                <w:position w:val="7"/>
                <w:sz w:val="16"/>
                <w:sz w:val="20"/>
                <w:shd w:fill="FFFFFF" w:val="clear"/>
              </w:rPr>
              <w:t>(2)</w:t>
            </w:r>
          </w:p>
        </w:tc>
      </w:tr>
      <w:tr>
        <w:trPr/>
        <w:tc>
          <w:tcPr>
            <w:tcW w:w="18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302,770</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II, L.P.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directly held by 5AM Ventures VI, L.P. ("Ventures VI"). 5AM Partners VI, LLC ("Partners VI") is the sole general partner of Ventures VI. The Reporting Person is a managing member of Partners VI and may be deemed to have shared voting and investment power over the shares beneficially owned by Ventures VI.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5AM Ventures VII, L.P. ("Ventures VII"). 5AM Partners VII, LLC ("Partners VII") is the sole general partner of Ventures VII. The Reporting Person is a managing member of Partners VII and may be deemed to have shared voting and investment power over the shares beneficially owned by Ventures VII.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5AM Opportunities II, L.P. ("Opportunities II"). 5AM Opportunities II (GP), LLC ("Opportunities II GP") is the sole general partner of Opportunities II. The Reporting Person is a managing member of Opportunities II GP and may be deemed to have shared voting and investment power over the shares beneficially owned by Opportunities II GP. The Reporting Person disclaims beneficial ownership of such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549"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4368</Characters>
  <CharactersWithSpaces>5106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