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CAMP4 THERAPEUTICS CORPORATION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16"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81-1152476</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Talcott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201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Watertown,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02472</w:t>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651-8867</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One Kendall Square</w:t>
        <w:br/>
        <w:t>Building 1400 West, 3rd Floor</w:t>
        <w:br/>
        <w:t>Cambridge, Massachusetts 02139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314"/>
        <w:gridCol w:w="314"/>
        <w:gridCol w:w="316"/>
        <w:gridCol w:w="109"/>
        <w:gridCol w:w="109"/>
        <w:gridCol w:w="109"/>
        <w:gridCol w:w="718"/>
        <w:gridCol w:w="718"/>
        <w:gridCol w:w="1023"/>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13, 2026, CAMP4 Therapeutics Corporation (the “Company”) issued a press release announcing its financial results for the quarter ended June 30, 2026. A copy of the press release is furnished as Exhibit 99.1 to this Current Report on Form 8-K.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(the “Securities Act”),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7"/>
        <w:gridCol w:w="1937"/>
        <w:gridCol w:w="277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camp4reportssecondquarter2.htm">
              <w:r>
                <w:rPr>
                  <w:rStyle w:val="InternetLink"/>
                  <w:rFonts w:ascii="Times New Roman;serif" w:hAnsi="Times New Roman;serif"/>
                  <w:b w:val="false"/>
                  <w:color w:val="000080"/>
                  <w:sz w:val="20"/>
                  <w:u w:val="single"/>
                </w:rPr>
                <w:t xml:space="preserve">Press release issued by CAMP4 Therapeutics Corporation on </w:t>
              </w:r>
            </w:hyperlink>
            <w:hyperlink w:anchor="camp4reportssecondquarter2.htm">
              <w:r>
                <w:rPr>
                  <w:rStyle w:val="InternetLink"/>
                  <w:rFonts w:ascii="Times New Roman;serif" w:hAnsi="Times New Roman;serif"/>
                  <w:b w:val="false"/>
                  <w:color w:val="000080"/>
                  <w:sz w:val="20"/>
                  <w:u w:val="single"/>
                </w:rPr>
                <w:t>August 13</w:t>
              </w:r>
            </w:hyperlink>
            <w:hyperlink w:anchor="camp4reportssecondquarter2.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61" w:type="dxa"/>
        <w:jc w:val="left"/>
        <w:tblInd w:w="0" w:type="dxa"/>
        <w:tblLayout w:type="fixed"/>
        <w:tblCellMar>
          <w:top w:w="28" w:type="dxa"/>
          <w:left w:w="28" w:type="dxa"/>
          <w:bottom w:w="28" w:type="dxa"/>
          <w:right w:w="28" w:type="dxa"/>
        </w:tblCellMar>
      </w:tblPr>
      <w:tblGrid>
        <w:gridCol w:w="124"/>
        <w:gridCol w:w="109"/>
        <w:gridCol w:w="109"/>
        <w:gridCol w:w="608"/>
        <w:gridCol w:w="608"/>
        <w:gridCol w:w="608"/>
        <w:gridCol w:w="1112"/>
        <w:gridCol w:w="1112"/>
        <w:gridCol w:w="1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 xml:space="preserve">CAMP4 Reports Second Quarter 2026 Financial Results and Corporate Highlights </w:t>
      </w:r>
    </w:p>
    <w:p>
      <w:pPr>
        <w:pStyle w:val="TextBody"/>
        <w:bidi w:val="0"/>
        <w:spacing w:before="0" w:after="0"/>
        <w:jc w:val="center"/>
        <w:rPr/>
      </w:pPr>
      <w:r>
        <w:rPr/>
      </w:r>
    </w:p>
    <w:p>
      <w:pPr>
        <w:pStyle w:val="TextBody"/>
        <w:bidi w:val="0"/>
        <w:spacing w:lineRule="auto" w:line="321" w:before="0" w:after="0"/>
        <w:jc w:val="center"/>
        <w:rPr>
          <w:rFonts w:ascii="Times New Roman;serif" w:hAnsi="Times New Roman;serif"/>
          <w:b w:val="false"/>
          <w:i/>
          <w:color w:val="000000"/>
          <w:sz w:val="22"/>
        </w:rPr>
      </w:pPr>
      <w:r>
        <w:rPr>
          <w:rFonts w:ascii="Times New Roman;serif" w:hAnsi="Times New Roman;serif"/>
          <w:b w:val="false"/>
          <w:i/>
          <w:color w:val="000000"/>
          <w:sz w:val="22"/>
        </w:rPr>
        <w:t>Secured regulatory clearance in two jurisdictions to initiate first-in-human Phase 1/2 clinical trial of CMP-002 in patients with SYNGAP-1 related disorder; trial initiation anticipated in the fourth quarter of this year.</w:t>
      </w:r>
    </w:p>
    <w:p>
      <w:pPr>
        <w:pStyle w:val="TextBody"/>
        <w:bidi w:val="0"/>
        <w:spacing w:before="0" w:after="0"/>
        <w:jc w:val="center"/>
        <w:rPr/>
      </w:pPr>
      <w:r>
        <w:rPr/>
      </w:r>
    </w:p>
    <w:p>
      <w:pPr>
        <w:pStyle w:val="TextBody"/>
        <w:bidi w:val="0"/>
        <w:spacing w:lineRule="auto" w:line="321" w:before="0" w:after="0"/>
        <w:jc w:val="center"/>
        <w:rPr>
          <w:rFonts w:ascii="Times New Roman;serif" w:hAnsi="Times New Roman;serif"/>
          <w:b w:val="false"/>
          <w:i/>
          <w:color w:val="000000"/>
          <w:sz w:val="22"/>
        </w:rPr>
      </w:pPr>
      <w:r>
        <w:rPr>
          <w:rFonts w:ascii="Times New Roman;serif" w:hAnsi="Times New Roman;serif"/>
          <w:b w:val="false"/>
          <w:i/>
          <w:color w:val="000000"/>
          <w:sz w:val="22"/>
        </w:rPr>
        <w:t>Received $50.1 million from fully subscribed second closing of private placement initially announced September 2025. Cash runway extended through the end of 2028.</w:t>
      </w:r>
    </w:p>
    <w:p>
      <w:pPr>
        <w:pStyle w:val="TextBody"/>
        <w:bidi w:val="0"/>
        <w:spacing w:before="0" w:after="0"/>
        <w:jc w:val="center"/>
        <w:rPr/>
      </w:pPr>
      <w:r>
        <w:rPr/>
      </w:r>
    </w:p>
    <w:p>
      <w:pPr>
        <w:pStyle w:val="TextBody"/>
        <w:bidi w:val="0"/>
        <w:spacing w:lineRule="auto" w:line="321" w:before="0" w:after="0"/>
        <w:jc w:val="left"/>
        <w:rPr/>
      </w:pPr>
      <w:r>
        <w:rPr>
          <w:rFonts w:ascii="Times New Roman;serif" w:hAnsi="Times New Roman;serif"/>
          <w:b/>
          <w:color w:val="000000"/>
          <w:sz w:val="22"/>
        </w:rPr>
        <w:t xml:space="preserve">WATERTOWN, Mass., August 13, 2026 (GLOBE NEWSWIRE) – </w:t>
      </w:r>
      <w:r>
        <w:rPr>
          <w:rFonts w:ascii="Times New Roman;serif" w:hAnsi="Times New Roman;serif"/>
          <w:b w:val="false"/>
          <w:color w:val="000000"/>
          <w:sz w:val="22"/>
        </w:rPr>
        <w:t>CAMP4 Therapeutics Corporation (“CAMP4”) (Nasdaq: CAMP), a clinical-stage biopharmaceutical company developing a pipeline of regulatory RNA-targeting therapeutics designed to upregulate gene expression with the goal of restoring healthy protein levels to treat a broad range of genetic diseases, today announced financial results for the second quarter ended June 30, 2026, and provided recent corporate highlights.</w:t>
      </w:r>
    </w:p>
    <w:p>
      <w:pPr>
        <w:pStyle w:val="TextBody"/>
        <w:bidi w:val="0"/>
        <w:spacing w:before="0" w:after="0"/>
        <w:jc w:val="left"/>
        <w:rPr/>
      </w:pPr>
      <w:r>
        <w:rPr/>
      </w:r>
    </w:p>
    <w:p>
      <w:pPr>
        <w:pStyle w:val="TextBody"/>
        <w:bidi w:val="0"/>
        <w:spacing w:lineRule="auto" w:line="321" w:before="0" w:after="0"/>
        <w:jc w:val="left"/>
        <w:rPr>
          <w:color w:val="000000"/>
        </w:rPr>
      </w:pPr>
      <w:r>
        <w:rPr>
          <w:color w:val="000000"/>
        </w:rPr>
        <w:t>“</w:t>
      </w:r>
      <w:r>
        <w:rPr>
          <w:rFonts w:ascii="Times New Roman;serif" w:hAnsi="Times New Roman;serif"/>
          <w:b w:val="false"/>
          <w:color w:val="000000"/>
          <w:sz w:val="22"/>
        </w:rPr>
        <w:t xml:space="preserve">Having secured regulatory clearance in both Australia and Argentina, we are now focused on initiating our first-in-human Phase 1/2 clinical trial of CMP-002 in patients with SYNGAP1 and are continuing to activate our planned clinical trial in additional jurisdictions,” said Josh Mandel-Brehm, President and Chief Executive Officer of CAMP4. “There are no approved disease-modifying treatments for SYNGAP1, and we are committed to rapidly advancing the development of CMP-002 globally in the hopes of offering SYNGAP1 patients and families a potentially transformative solution that could one day dramatically improve their lives.” </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Recent Corporate Highlights:</w:t>
      </w:r>
    </w:p>
    <w:p>
      <w:pPr>
        <w:pStyle w:val="TextBody"/>
        <w:bidi w:val="0"/>
        <w:spacing w:before="0" w:after="0"/>
        <w:jc w:val="left"/>
        <w:rPr/>
      </w:pPr>
      <w:r>
        <w:rPr/>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 xml:space="preserve">Received clearance from Australia’s Therapeutic Goods Administration (TGA) and local Human Research Ethics Committee (HREC), as well as Argentina’s Administración Nacional de Medicamentos, Alimentos y Tecnología Médica (ANMAT), supporting initiation of a Phase 1/2 clinical trial of CMP-002. Clinical trial launch is expected in Q4 2026. </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Submitted regulatory filings in the European Union and United Kingdom to support broader enrollment across multiple sites.</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Secured $50.1 million in gross proceeds in the second closing of the Company’s private placement, pursuant to which the Company previously received approximately $50 million in gross proceeds in September 2025. Cash runway extended though end of 2028.</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Relocated corporate headquarters to Watertown, Mass.</w:t>
      </w:r>
    </w:p>
    <w:p>
      <w:pPr>
        <w:pStyle w:val="TextBody"/>
        <w:bidi w:val="0"/>
        <w:spacing w:before="0" w:after="0"/>
        <w:jc w:val="left"/>
        <w:rPr/>
      </w:pPr>
      <w:r>
        <w:rPr/>
      </w:r>
    </w:p>
    <w:p>
      <w:pPr>
        <w:pStyle w:val="TextBody"/>
        <w:bidi w:val="0"/>
        <w:spacing w:lineRule="auto" w:line="321" w:before="0" w:after="120"/>
        <w:jc w:val="left"/>
        <w:rPr>
          <w:rFonts w:ascii="Times New Roman;serif" w:hAnsi="Times New Roman;serif"/>
          <w:b/>
          <w:color w:val="000000"/>
          <w:sz w:val="22"/>
        </w:rPr>
      </w:pPr>
      <w:r>
        <w:rPr>
          <w:rFonts w:ascii="Times New Roman;serif" w:hAnsi="Times New Roman;serif"/>
          <w:b/>
          <w:color w:val="000000"/>
          <w:sz w:val="22"/>
        </w:rPr>
        <w:t>Upcoming Virtual Analyst Event</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The Company will host a Virtual Analyst Day on September 28, 2026. The program will provide an overview of the unmet clinical need in SYNGAP-1 related disorders, an overview of the clinical trial design for the Company’s first-in-human Phase 1/2 clinical trial of CMP-002, and an update on the Company’s early discovery pipeline. To register for the Analyst Day please visit the Investor Relations section of the Company's website.</w:t>
      </w:r>
    </w:p>
    <w:p>
      <w:pPr>
        <w:pStyle w:val="TextBody"/>
        <w:bidi w:val="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20"/>
        <w:jc w:val="left"/>
        <w:rPr>
          <w:rFonts w:ascii="Times New Roman;serif" w:hAnsi="Times New Roman;serif"/>
          <w:b/>
          <w:color w:val="000000"/>
          <w:sz w:val="22"/>
        </w:rPr>
      </w:pPr>
      <w:r>
        <w:rPr>
          <w:rFonts w:ascii="Times New Roman;serif" w:hAnsi="Times New Roman;serif"/>
          <w:b/>
          <w:color w:val="000000"/>
          <w:sz w:val="22"/>
        </w:rPr>
        <w:t>Upcoming Investor Conferences</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Wells Fargo 21st Annual Healthcare Conference in New York, NY.</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 xml:space="preserve">Cantor Global Healthcare Conference in New York, NY. </w:t>
      </w:r>
    </w:p>
    <w:p>
      <w:pPr>
        <w:pStyle w:val="TextBody"/>
        <w:bidi w:val="0"/>
        <w:spacing w:before="0" w:after="0"/>
        <w:jc w:val="left"/>
        <w:rPr/>
      </w:pPr>
      <w:r>
        <w:rPr/>
      </w:r>
    </w:p>
    <w:p>
      <w:pPr>
        <w:pStyle w:val="TextBody"/>
        <w:bidi w:val="0"/>
        <w:spacing w:lineRule="auto" w:line="321" w:before="0" w:after="120"/>
        <w:jc w:val="left"/>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Cash and cash equivalents as of June 30, 2026, were $86.4 million, compared to $109.5 million as of December 31, 2025. Subsequent to quarter-end, the Company closed the second tranche of its private placement announced September 2025, raising an additional $50.1 million in gross proceeds. The Company believes that its current cash and cash equivalents will be sufficient to fund its planned activities through the end of 2028.</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color w:val="000000"/>
          <w:sz w:val="22"/>
        </w:rPr>
        <w:t xml:space="preserve">R&amp;D Expenses: </w:t>
      </w:r>
      <w:r>
        <w:rPr>
          <w:rFonts w:ascii="Times New Roman;serif" w:hAnsi="Times New Roman;serif"/>
          <w:b w:val="false"/>
          <w:color w:val="000000"/>
          <w:sz w:val="22"/>
        </w:rPr>
        <w:t>Research and development expenses for the quarter ended June 30, 2026, were $10.8 million, compared to $10.3 million for the quarter ended June 30, 2025. The expenses were primarily driven by clinical and preclinical study costs.</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color w:val="000000"/>
          <w:sz w:val="22"/>
        </w:rPr>
        <w:t>G&amp;A Expenses:</w:t>
      </w:r>
      <w:r>
        <w:rPr>
          <w:color w:val="000000"/>
        </w:rPr>
        <w:t xml:space="preserve"> </w:t>
      </w:r>
      <w:r>
        <w:rPr>
          <w:rFonts w:ascii="Times New Roman;serif" w:hAnsi="Times New Roman;serif"/>
          <w:b w:val="false"/>
          <w:color w:val="000000"/>
          <w:sz w:val="22"/>
        </w:rPr>
        <w:t>General and administrative expenses were $4.3 million for the quarter ended June 30, 2026, compared to $4.2 million for the quarter ended June 30, 2025. The increase was primarily driven by an increase in stock-based compensation expense, partially offset by reduced facilities costs.</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Net loss for the quarter ended June 30, 2026, was $33.5 million, compared to $12.6 million for the quarter ended June 30, 2025. The increase was primarily driven by a $20.9 million non-cash loss recognized due to a change in fair value of the derivative tranche liability related to the Company's September 2025 private placement.</w:t>
      </w:r>
    </w:p>
    <w:p>
      <w:pPr>
        <w:pStyle w:val="TextBody"/>
        <w:bidi w:val="0"/>
        <w:spacing w:before="0" w:after="0"/>
        <w:jc w:val="left"/>
        <w:rPr/>
      </w:pPr>
      <w:r>
        <w:rPr/>
      </w:r>
    </w:p>
    <w:p>
      <w:pPr>
        <w:pStyle w:val="TextBody"/>
        <w:bidi w:val="0"/>
        <w:spacing w:lineRule="auto" w:line="321" w:before="0" w:after="120"/>
        <w:jc w:val="left"/>
        <w:rPr>
          <w:rFonts w:ascii="Times New Roman;serif" w:hAnsi="Times New Roman;serif"/>
          <w:b/>
          <w:color w:val="000000"/>
          <w:sz w:val="22"/>
        </w:rPr>
      </w:pPr>
      <w:r>
        <w:rPr>
          <w:rFonts w:ascii="Times New Roman;serif" w:hAnsi="Times New Roman;serif"/>
          <w:b/>
          <w:color w:val="000000"/>
          <w:sz w:val="22"/>
        </w:rPr>
        <w:t>About CAMP4 Therapeutics</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CAMP4 is developing disease-modifying treatments for a broad range of genetic diseases where amplifying healthy protein may offer therapeutic benefits. Our approach amplifies mRNA by harnessing a fundamental mechanism of how genes are controlled. To amplify mRNA, our therapeutic ASO drug candidates target regulatory RNAs (regRNAs), which act locally on transcription factors and are the master regulators of gene expression. CAMP4’s proprietary RAP Platform™ enables the mapping of regRNAs and generation of therapeutic candidates designed to target the regRNAs associated with genes underlying haploinsufficient and recessive partial loss-of-function disorders, of which there are more than 1,200, in which a modest increase in protein expression may have the potential to be clinically meaningful. For more information, visit camp4tx.com.</w:t>
      </w:r>
    </w:p>
    <w:p>
      <w:pPr>
        <w:pStyle w:val="TextBody"/>
        <w:bidi w:val="0"/>
        <w:spacing w:before="0" w:after="0"/>
        <w:jc w:val="left"/>
        <w:rPr/>
      </w:pPr>
      <w:r>
        <w:rPr/>
      </w:r>
    </w:p>
    <w:p>
      <w:pPr>
        <w:pStyle w:val="TextBody"/>
        <w:bidi w:val="0"/>
        <w:spacing w:lineRule="auto" w:line="321" w:before="0" w:after="12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w:t>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although not all forward-looking statements contain these words. Forward-looking statements include, but are not limited to, statements concerning the anticipated timeline for initiation of the Company’s planned Phase 1/2 clinical trial of CMP-002 in patients with SYNGAP-1 related disorder; the Company’s expectations with respect to the timing and outcomes of planned and submitted requests for regulatory approvals; the Company’s commitment to rapidly advancing the development of CMP-002 globally; the therapeutic potential of CMP-002, including its ability to offer SYNGAP1 patients and families a potentially transformative solution that could one day dramatically improve their lives, and of the Company’s other product candidates; the sufficiency of the Company’s current cash and cash equivalents to support its planned activities through the end of 2028; the potential of the Company’s RAP Platform technology and early discovery pipeline; and the Company’s strategy, goals, business plans and focus.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Company’s limited operating history, incurrence of substantial losses since inception and anticipated incurrence of substantial and increasing losses for the foreseeable future; the Company’s need for substantial additional financing to achieve the its goals; the uncertainty of clinical development and risks related to additional costs or delays in the development and commercialization of the Company’s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the Company’s ability to realize the benefits of the Company’s current or future collaborations or licensing arrangements and ability to successfully consummate future partnerships; the Company’s ability to manage the Company’s growth and expansion of the Company’s operations; risks related to the manufacturing of the Company’s product candidates; the Company’s ability to obtain and maintain sufficient intellectual property protection for the its product candidates;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risks related to the operations of the Company’s suppliers; and other risks and uncertainties described in the section “Risk Factors” in the Company’s Annual Report on Form 10-K for the year ended December 31, 2025 and Quarterly Report on Form 10-Q for the quarter ended March 31, 2026, as well as other information the Company files with the Securities and Exchange Commission. The forward-looking statements in this press release are inherently uncertain and are not guarantees of future events. Because forward-looking statements are inherently subject to risks and uncertainties, some of which cannot be predicted or quantified and some of which are beyond the Company’s control, you should not unduly rely on these forward-looking statements.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Investors, potential investors, and others should give careful consideration to these risks and uncertainties. Except as required by applicable law, the Company does not undertake to publicly update or revise any forward-looking statements contained herein, whether as a result of any new information, future events, changed circumstances or otherwise.</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color w:val="000000"/>
          <w:sz w:val="22"/>
        </w:rPr>
        <w:t>Investor Relations:</w:t>
      </w:r>
      <w:r>
        <w:rPr>
          <w:rFonts w:ascii="Times New Roman;serif" w:hAnsi="Times New Roman;serif"/>
          <w:b w:val="false"/>
          <w:color w:val="000000"/>
          <w:sz w:val="22"/>
        </w:rPr>
        <w:br/>
        <w:t>Sara Michelmore</w:t>
        <w:br/>
        <w:t>Milestone Advisors</w:t>
        <w:br/>
        <w:t>sara@milestone-advisorsllc.com</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Media:</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Sofia Bermudez</w:t>
        <w:br/>
        <w:t>LifeSci Communications</w:t>
        <w:br/>
        <w:t>sbermudez@lifescicomms.com</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Consolidated Statements of Operations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data)</w:t>
      </w:r>
    </w:p>
    <w:p>
      <w:pPr>
        <w:pStyle w:val="TextBody"/>
        <w:bidi w:val="0"/>
        <w:spacing w:before="0" w:after="0"/>
        <w:jc w:val="center"/>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17"/>
        <w:gridCol w:w="1288"/>
        <w:gridCol w:w="1304"/>
        <w:gridCol w:w="226"/>
        <w:gridCol w:w="881"/>
        <w:gridCol w:w="109"/>
        <w:gridCol w:w="109"/>
        <w:gridCol w:w="109"/>
        <w:gridCol w:w="109"/>
        <w:gridCol w:w="226"/>
        <w:gridCol w:w="881"/>
        <w:gridCol w:w="109"/>
        <w:gridCol w:w="109"/>
        <w:gridCol w:w="109"/>
        <w:gridCol w:w="109"/>
        <w:gridCol w:w="226"/>
        <w:gridCol w:w="881"/>
        <w:gridCol w:w="109"/>
        <w:gridCol w:w="109"/>
        <w:gridCol w:w="109"/>
        <w:gridCol w:w="109"/>
        <w:gridCol w:w="226"/>
        <w:gridCol w:w="881"/>
        <w:gridCol w:w="160"/>
      </w:tblGrid>
      <w:tr>
        <w:trPr/>
        <w:tc>
          <w:tcPr>
            <w:tcW w:w="171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321" w:before="0" w:after="0"/>
              <w:jc w:val="center"/>
              <w:rPr>
                <w:rFonts w:ascii="Times New Roman;serif" w:hAnsi="Times New Roman;serif"/>
                <w:b/>
                <w:color w:val="000000"/>
                <w:sz w:val="22"/>
              </w:rPr>
            </w:pPr>
            <w:r>
              <w:rPr>
                <w:rFonts w:ascii="Times New Roman;serif" w:hAnsi="Times New Roman;serif"/>
                <w:b/>
                <w:color w:val="000000"/>
                <w:sz w:val="22"/>
              </w:rPr>
              <w:t xml:space="preserve">Three Months Ended </w:t>
            </w:r>
          </w:p>
          <w:p>
            <w:pPr>
              <w:pStyle w:val="TableContents"/>
              <w:bidi w:val="0"/>
              <w:spacing w:lineRule="auto" w:line="321" w:before="0" w:after="0"/>
              <w:jc w:val="center"/>
              <w:rPr>
                <w:rFonts w:ascii="Times New Roman;serif" w:hAnsi="Times New Roman;serif"/>
                <w:b/>
                <w:color w:val="000000"/>
                <w:sz w:val="22"/>
              </w:rPr>
            </w:pPr>
            <w:r>
              <w:rPr>
                <w:rFonts w:ascii="Times New Roman;serif" w:hAnsi="Times New Roman;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321" w:before="0" w:after="0"/>
              <w:jc w:val="center"/>
              <w:rPr>
                <w:rFonts w:ascii="Times New Roman;serif" w:hAnsi="Times New Roman;serif"/>
                <w:b/>
                <w:color w:val="000000"/>
                <w:sz w:val="22"/>
              </w:rPr>
            </w:pPr>
            <w:r>
              <w:rPr>
                <w:rFonts w:ascii="Times New Roman;serif" w:hAnsi="Times New Roman;serif"/>
                <w:b/>
                <w:color w:val="000000"/>
                <w:sz w:val="22"/>
              </w:rPr>
              <w:t xml:space="preserve">Six Months Ended </w:t>
            </w:r>
          </w:p>
          <w:p>
            <w:pPr>
              <w:pStyle w:val="TableContents"/>
              <w:bidi w:val="0"/>
              <w:spacing w:lineRule="auto" w:line="321" w:before="0" w:after="0"/>
              <w:jc w:val="center"/>
              <w:rPr>
                <w:rFonts w:ascii="Times New Roman;serif" w:hAnsi="Times New Roman;serif"/>
                <w:b/>
                <w:color w:val="000000"/>
                <w:sz w:val="22"/>
              </w:rPr>
            </w:pPr>
            <w:r>
              <w:rPr>
                <w:rFonts w:ascii="Times New Roman;serif" w:hAnsi="Times New Roman;serif"/>
                <w:b/>
                <w:color w:val="000000"/>
                <w:sz w:val="22"/>
              </w:rPr>
              <w:t>June 30,</w:t>
            </w:r>
          </w:p>
        </w:tc>
      </w:tr>
      <w:tr>
        <w:trPr/>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12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Research and collaboration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2,355 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Operating Expenses: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20,489 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7,994 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14,525 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29,524 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28,483 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Loss from operations</w:t>
            </w:r>
          </w:p>
        </w:tc>
        <w:tc>
          <w:tcPr>
            <w:tcW w:w="11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(13,380)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(13,028)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(26,451)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(26,128)</w:t>
            </w:r>
          </w:p>
        </w:tc>
        <w:tc>
          <w:tcPr>
            <w:tcW w:w="1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Other (expense) income, net:</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1,041 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Change in fair value of derivative tranche liability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(20,930)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(27,118)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Other (expense) income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Total other (expense) income, net</w:t>
            </w:r>
          </w:p>
        </w:tc>
        <w:tc>
          <w:tcPr>
            <w:tcW w:w="11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(20,150)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441 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(25,410)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1,108 </w:t>
            </w:r>
          </w:p>
        </w:tc>
        <w:tc>
          <w:tcPr>
            <w:tcW w:w="16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Net loss </w:t>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(33,530)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(12,587)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(51,861)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(25,020)</w:t>
            </w:r>
          </w:p>
        </w:tc>
        <w:tc>
          <w:tcPr>
            <w:tcW w:w="1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Net loss per share attributable to common stockholders, basic and 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(0.58)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(0.62)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(0.90)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(1.24)</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Weighted-average shares of common stock outstanding, basic and diluted</w:t>
            </w:r>
          </w:p>
        </w:tc>
        <w:tc>
          <w:tcPr>
            <w:tcW w:w="12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57,929,662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20,159,666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57,926,685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2"/>
              </w:rPr>
            </w:pPr>
            <w:r>
              <w:rPr>
                <w:rFonts w:ascii="Times New Roman;serif" w:hAnsi="Times New Roman;serif"/>
                <w:b w:val="false"/>
                <w:color w:val="000000"/>
                <w:sz w:val="22"/>
              </w:rPr>
              <w:t>20,155,161</w:t>
            </w:r>
          </w:p>
        </w:tc>
      </w:tr>
    </w:tbl>
    <w:p>
      <w:pPr>
        <w:pStyle w:val="TextBody"/>
        <w:bidi w:val="0"/>
        <w:spacing w:before="0" w:after="160"/>
        <w:jc w:val="left"/>
        <w:rPr/>
      </w:pPr>
      <w:r>
        <w:rPr/>
      </w:r>
    </w:p>
    <w:tbl>
      <w:tblPr>
        <w:tblW w:w="7028" w:type="dxa"/>
        <w:jc w:val="left"/>
        <w:tblInd w:w="0" w:type="dxa"/>
        <w:tblLayout w:type="fixed"/>
        <w:tblCellMar>
          <w:top w:w="28" w:type="dxa"/>
          <w:left w:w="28" w:type="dxa"/>
          <w:bottom w:w="28" w:type="dxa"/>
          <w:right w:w="28" w:type="dxa"/>
        </w:tblCellMar>
      </w:tblPr>
      <w:tblGrid>
        <w:gridCol w:w="1314"/>
        <w:gridCol w:w="1156"/>
        <w:gridCol w:w="1160"/>
        <w:gridCol w:w="135"/>
        <w:gridCol w:w="135"/>
        <w:gridCol w:w="135"/>
        <w:gridCol w:w="298"/>
        <w:gridCol w:w="298"/>
        <w:gridCol w:w="303"/>
        <w:gridCol w:w="109"/>
        <w:gridCol w:w="109"/>
        <w:gridCol w:w="109"/>
        <w:gridCol w:w="274"/>
        <w:gridCol w:w="274"/>
        <w:gridCol w:w="274"/>
        <w:gridCol w:w="274"/>
        <w:gridCol w:w="274"/>
        <w:gridCol w:w="397"/>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Balance Sheet Data</w:t>
            </w:r>
          </w:p>
        </w:tc>
        <w:tc>
          <w:tcPr>
            <w:tcW w:w="130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3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86,398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109,517</w:t>
            </w:r>
          </w:p>
        </w:tc>
      </w:tr>
      <w:tr>
        <w:trPr/>
        <w:tc>
          <w:tcPr>
            <w:tcW w:w="363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Working capital(1)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70,885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98,581</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93,428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117,808</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94,121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70,104</w:t>
            </w:r>
          </w:p>
        </w:tc>
      </w:tr>
      <w:tr>
        <w:trPr/>
        <w:tc>
          <w:tcPr>
            <w:tcW w:w="3630" w:type="dxa"/>
            <w:gridSpan w:val="3"/>
            <w:tcBorders>
              <w:top w:val="single" w:sz="6" w:space="0" w:color="CCEEFF"/>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(344,017)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(292,156)</w:t>
            </w:r>
          </w:p>
        </w:tc>
      </w:tr>
      <w:tr>
        <w:trPr/>
        <w:tc>
          <w:tcPr>
            <w:tcW w:w="3630" w:type="dxa"/>
            <w:gridSpan w:val="3"/>
            <w:tcBorders>
              <w:bottom w:val="single" w:sz="6" w:space="0" w:color="FFFFFF"/>
            </w:tcBorders>
            <w:shd w:fill="CCEEFF" w:val="clear"/>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stockholders' (deficit) equity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47,704</w:t>
            </w:r>
          </w:p>
        </w:tc>
      </w:tr>
    </w:tbl>
    <w:p>
      <w:pPr>
        <w:pStyle w:val="TextBody"/>
        <w:bidi w:val="0"/>
        <w:spacing w:lineRule="auto" w:line="321" w:before="240" w:after="160"/>
        <w:jc w:val="left"/>
        <w:rPr>
          <w:rFonts w:ascii="Times New Roman;serif" w:hAnsi="Times New Roman;serif"/>
          <w:b w:val="false"/>
          <w:color w:val="000000"/>
          <w:sz w:val="18"/>
        </w:rPr>
      </w:pPr>
      <w:r>
        <w:rPr>
          <w:rFonts w:ascii="Times New Roman;serif" w:hAnsi="Times New Roman;serif"/>
          <w:b w:val="false"/>
          <w:color w:val="000000"/>
          <w:sz w:val="18"/>
        </w:rPr>
        <w:t>(1) Working capital is defined as total current assets less total current liabilities. See our unaudited condensed consolidated financial statements and the related notes thereto included in our Quarterly Report on Form 10-Q for the three and six months ended June 30, 2026 for further details regarding our current assets and current liabilities.</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2281</Words>
  <Characters>13457</Characters>
  <CharactersWithSpaces>15583</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