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Filed Pursuant to Rule 424(b)(3)</w:t>
      </w:r>
    </w:p>
    <w:p>
      <w:pPr>
        <w:pStyle w:val="TextBody"/>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Registration No. 333-298067</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PROSPECTUS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CAMP4 THERAPEUTICS CORPORATION</w:t>
      </w:r>
    </w:p>
    <w:p>
      <w:pPr>
        <w:pStyle w:val="TextBody"/>
        <w:bidi w:val="0"/>
        <w:spacing w:before="0" w:after="180"/>
        <w:jc w:val="center"/>
        <w:rPr/>
      </w:pPr>
      <w:r>
        <w:rPr/>
        <w:drawing>
          <wp:inline distT="0" distB="0" distL="0" distR="0">
            <wp:extent cx="2286000" cy="714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86000" cy="714375"/>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10,795,804 Shares of Common Stock </w:t>
      </w:r>
    </w:p>
    <w:p>
      <w:pPr>
        <w:pStyle w:val="TextBody"/>
        <w:bidi w:val="0"/>
        <w:spacing w:lineRule="auto" w:line="288" w:before="0" w:after="180"/>
        <w:jc w:val="center"/>
        <w:rPr>
          <w:rFonts w:ascii="Times New Roman;serif" w:hAnsi="Times New Roman;serif"/>
          <w:b/>
          <w:color w:val="000000"/>
          <w:sz w:val="28"/>
        </w:rPr>
      </w:pPr>
      <w:r>
        <w:rPr>
          <w:rFonts w:ascii="Times New Roman;serif" w:hAnsi="Times New Roman;serif"/>
          <w:b/>
          <w:color w:val="000000"/>
          <w:sz w:val="28"/>
        </w:rPr>
        <w:t>21,925,368 Shares of Common Stock Underlying Pre-Funded Warrants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relates to the resale or other disposition from time to time by the selling stockholders identified in this prospectus, including their transferees, pledgees, donees or successors, of up to (i) 10,795,804 shares of our common stock, par value $0.0001 per share (the “Common Stock”), and (ii) 21,925,368 shares of Common Stock issuable upon the exercise of pre-funded warrants, with an exercise price of $0.0001 per share (the “2026 Pre-Funded Warrants” and, together with the Common Stock, the “Resale Shares”), that we issued in connection with the Second Closing (as defined below) of the private placement, which initially closed on September 11, 2025, pursuant to the Securities Purchase Agreement, dated as of September 9, 2025 (the “Purchase Agreement”), by and among CAMP4 Therapeutics Corporation and the investors party thereto. </w:t>
      </w:r>
    </w:p>
    <w:p>
      <w:pPr>
        <w:pStyle w:val="TextBody"/>
        <w:bidi w:val="0"/>
        <w:spacing w:lineRule="auto" w:line="288" w:before="0" w:after="180"/>
        <w:jc w:val="left"/>
        <w:rPr/>
      </w:pPr>
      <w:r>
        <w:rPr>
          <w:rFonts w:ascii="Times New Roman;serif" w:hAnsi="Times New Roman;serif"/>
          <w:b w:val="false"/>
          <w:color w:val="000000"/>
          <w:sz w:val="20"/>
        </w:rPr>
        <w:t xml:space="preserve">The selling stockholders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See “Plan of Distribution,” which begins on page </w:t>
      </w:r>
      <w:hyperlink w:anchor="i06a5e4b2a84d414e9ebdf6b92fe5ff44_34">
        <w:r>
          <w:rPr>
            <w:rStyle w:val="InternetLink"/>
            <w:rFonts w:ascii="Times New Roman;serif" w:hAnsi="Times New Roman;serif"/>
            <w:b w:val="false"/>
            <w:color w:val="0000FF"/>
            <w:sz w:val="20"/>
            <w:u w:val="single"/>
          </w:rPr>
          <w:t>16</w:t>
        </w:r>
      </w:hyperlink>
      <w:r>
        <w:rPr>
          <w:rFonts w:ascii="Times New Roman;serif" w:hAnsi="Times New Roman;serif"/>
          <w:b w:val="false"/>
          <w:color w:val="000000"/>
          <w:sz w:val="20"/>
        </w:rPr>
        <w:t xml:space="preserve">. We do not know when or in what amount the selling stockholders may dispose of or offer for sale the shares covered by this prospectus.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are not offering any shares of Common Stock under this prospectus. We will not receive any of the proceeds from the sale of shares of Common Stock by the selling stockholders, except with respect to the amounts received by us upon exercise of the 2026 Pre-Funded Warrants, to the extent such 2026 Pre-Funded Warrants are exercised for cash. All expenses of registration incurred in connection with this offering are being borne by us. The selling stockholders will bear all discounts and commissions, if any, and expenses incurred by them for brokerage, accounting, tax or legal services or any other expenses incurred in their sale of shares of Common Stock.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Common Stock is listed on the Nasdaq Global Market under the symbol “CAMP.” On August 11, 2026, the last reported sale price of our Common Stock was $4.17 per share.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amend or supplement this prospectus from time to time by filing amendments or supplements as required. You should read the entire prospectus and any amendments or supplements carefully before you make your investment decision. </w:t>
      </w:r>
    </w:p>
    <w:p>
      <w:pPr>
        <w:pStyle w:val="TextBody"/>
        <w:bidi w:val="0"/>
        <w:spacing w:lineRule="auto" w:line="288" w:before="0" w:after="180"/>
        <w:jc w:val="left"/>
        <w:rPr/>
      </w:pPr>
      <w:r>
        <w:rPr>
          <w:rFonts w:ascii="Times New Roman;serif" w:hAnsi="Times New Roman;serif"/>
          <w:b/>
          <w:color w:val="000000"/>
          <w:sz w:val="20"/>
        </w:rPr>
        <w:t>Investing in our securities involves risks. See “</w:t>
      </w:r>
      <w:hyperlink w:anchor="i06a5e4b2a84d414e9ebdf6b92fe5ff44_16">
        <w:r>
          <w:rPr>
            <w:rStyle w:val="InternetLink"/>
            <w:rFonts w:ascii="Times New Roman;serif" w:hAnsi="Times New Roman;serif"/>
            <w:b/>
            <w:color w:val="0000FF"/>
            <w:sz w:val="20"/>
            <w:u w:val="single"/>
          </w:rPr>
          <w:t>Risk Factors</w:t>
        </w:r>
      </w:hyperlink>
      <w:r>
        <w:rPr>
          <w:color w:val="000000"/>
        </w:rPr>
        <w:t xml:space="preserve">” </w:t>
      </w:r>
      <w:r>
        <w:rPr>
          <w:rFonts w:ascii="Times New Roman;serif" w:hAnsi="Times New Roman;serif"/>
          <w:b/>
          <w:color w:val="000000"/>
          <w:sz w:val="20"/>
        </w:rPr>
        <w:t xml:space="preserve">on page </w:t>
      </w:r>
      <w:hyperlink w:anchor="i06a5e4b2a84d414e9ebdf6b92fe5ff44_16">
        <w:r>
          <w:rPr>
            <w:rStyle w:val="InternetLink"/>
            <w:rFonts w:ascii="Times New Roman;serif" w:hAnsi="Times New Roman;serif"/>
            <w:b/>
            <w:color w:val="0000FF"/>
            <w:sz w:val="20"/>
            <w:u w:val="single"/>
          </w:rPr>
          <w:t>4</w:t>
        </w:r>
      </w:hyperlink>
      <w:r>
        <w:rPr>
          <w:rFonts w:ascii="Times New Roman;serif" w:hAnsi="Times New Roman;serif"/>
          <w:b/>
          <w:color w:val="000000"/>
          <w:sz w:val="20"/>
        </w:rPr>
        <w:t>, and any applicable prospectus supplement, and under similar headings in the other documents that are incorporated by reference into this prospectus.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Prospectus dated August 12,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246" w:type="dxa"/>
        <w:jc w:val="left"/>
        <w:tblInd w:w="0" w:type="dxa"/>
        <w:tblLayout w:type="fixed"/>
        <w:tblCellMar>
          <w:top w:w="28" w:type="dxa"/>
          <w:left w:w="28" w:type="dxa"/>
          <w:bottom w:w="28" w:type="dxa"/>
          <w:right w:w="28" w:type="dxa"/>
        </w:tblCellMar>
      </w:tblPr>
      <w:tblGrid>
        <w:gridCol w:w="2850"/>
        <w:gridCol w:w="2509"/>
        <w:gridCol w:w="2515"/>
        <w:gridCol w:w="109"/>
        <w:gridCol w:w="109"/>
        <w:gridCol w:w="154"/>
      </w:tblGrid>
      <w:tr>
        <w:trPr/>
        <w:tc>
          <w:tcPr>
            <w:tcW w:w="2850" w:type="dxa"/>
            <w:tcBorders/>
            <w:vAlign w:val="center"/>
          </w:tcPr>
          <w:p>
            <w:pPr>
              <w:pStyle w:val="TableContents"/>
              <w:bidi w:val="0"/>
              <w:spacing w:before="0" w:after="283"/>
              <w:jc w:val="left"/>
              <w:rPr>
                <w:sz w:val="4"/>
                <w:szCs w:val="4"/>
              </w:rPr>
            </w:pPr>
            <w:r>
              <w:rPr>
                <w:sz w:val="4"/>
                <w:szCs w:val="4"/>
              </w:rPr>
            </w:r>
          </w:p>
        </w:tc>
        <w:tc>
          <w:tcPr>
            <w:tcW w:w="2509" w:type="dxa"/>
            <w:tcBorders/>
            <w:vAlign w:val="center"/>
          </w:tcPr>
          <w:p>
            <w:pPr>
              <w:pStyle w:val="TableContents"/>
              <w:bidi w:val="0"/>
              <w:spacing w:before="0" w:after="283"/>
              <w:jc w:val="left"/>
              <w:rPr>
                <w:sz w:val="4"/>
                <w:szCs w:val="4"/>
              </w:rPr>
            </w:pPr>
            <w:r>
              <w:rPr>
                <w:sz w:val="4"/>
                <w:szCs w:val="4"/>
              </w:rPr>
            </w:r>
          </w:p>
        </w:tc>
        <w:tc>
          <w:tcPr>
            <w:tcW w:w="2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a5e4b2a84d414e9ebdf6b92fe5ff44_10">
              <w:r>
                <w:rPr>
                  <w:rStyle w:val="InternetLink"/>
                  <w:rFonts w:ascii="Times New Roman;serif" w:hAnsi="Times New Roman;serif"/>
                  <w:b w:val="false"/>
                  <w:color w:val="0000FF"/>
                  <w:sz w:val="20"/>
                  <w:u w:val="single"/>
                </w:rPr>
                <w:t>ABOUT THIS PROSPECTUS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a5e4b2a84d414e9ebdf6b92fe5ff44_10">
              <w:r>
                <w:rPr>
                  <w:rStyle w:val="InternetLink"/>
                  <w:rFonts w:ascii="Times New Roman;serif" w:hAnsi="Times New Roman;serif"/>
                  <w:b w:val="false"/>
                  <w:color w:val="0000FF"/>
                  <w:sz w:val="20"/>
                  <w:u w:val="single"/>
                </w:rPr>
                <w:t>1</w:t>
              </w:r>
            </w:hyperlink>
          </w:p>
        </w:tc>
      </w:tr>
      <w:tr>
        <w:trPr/>
        <w:tc>
          <w:tcPr>
            <w:tcW w:w="78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a5e4b2a84d414e9ebdf6b92fe5ff44_13">
              <w:r>
                <w:rPr>
                  <w:rStyle w:val="InternetLink"/>
                  <w:rFonts w:ascii="Times New Roman;serif" w:hAnsi="Times New Roman;serif"/>
                  <w:b w:val="false"/>
                  <w:color w:val="0000FF"/>
                  <w:sz w:val="20"/>
                  <w:u w:val="single"/>
                </w:rPr>
                <w:t>PROSPECTUS SUMMARY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a5e4b2a84d414e9ebdf6b92fe5ff44_13">
              <w:r>
                <w:rPr>
                  <w:rStyle w:val="InternetLink"/>
                  <w:rFonts w:ascii="Times New Roman;serif" w:hAnsi="Times New Roman;serif"/>
                  <w:b w:val="false"/>
                  <w:color w:val="0000FF"/>
                  <w:sz w:val="20"/>
                  <w:u w:val="single"/>
                </w:rPr>
                <w:t>2</w:t>
              </w:r>
            </w:hyperlink>
          </w:p>
        </w:tc>
      </w:tr>
      <w:tr>
        <w:trPr/>
        <w:tc>
          <w:tcPr>
            <w:tcW w:w="78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a5e4b2a84d414e9ebdf6b92fe5ff44_16">
              <w:r>
                <w:rPr>
                  <w:rStyle w:val="InternetLink"/>
                  <w:rFonts w:ascii="Times New Roman;serif" w:hAnsi="Times New Roman;serif"/>
                  <w:b w:val="false"/>
                  <w:color w:val="0000FF"/>
                  <w:sz w:val="20"/>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a5e4b2a84d414e9ebdf6b92fe5ff44_16">
              <w:r>
                <w:rPr>
                  <w:rStyle w:val="InternetLink"/>
                  <w:rFonts w:ascii="Times New Roman;serif" w:hAnsi="Times New Roman;serif"/>
                  <w:b w:val="false"/>
                  <w:color w:val="0000FF"/>
                  <w:sz w:val="20"/>
                  <w:u w:val="single"/>
                </w:rPr>
                <w:t>4</w:t>
              </w:r>
            </w:hyperlink>
          </w:p>
        </w:tc>
      </w:tr>
      <w:tr>
        <w:trPr/>
        <w:tc>
          <w:tcPr>
            <w:tcW w:w="78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a5e4b2a84d414e9ebdf6b92fe5ff44_19">
              <w:r>
                <w:rPr>
                  <w:rStyle w:val="InternetLink"/>
                  <w:rFonts w:ascii="Times New Roman;serif" w:hAnsi="Times New Roman;serif"/>
                  <w:b w:val="false"/>
                  <w:color w:val="0000FF"/>
                  <w:sz w:val="20"/>
                  <w:u w:val="single"/>
                </w:rPr>
                <w:t>DESCRIPTION OF PRIVATE PLACEMENT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a5e4b2a84d414e9ebdf6b92fe5ff44_19">
              <w:r>
                <w:rPr>
                  <w:rStyle w:val="InternetLink"/>
                  <w:rFonts w:ascii="Times New Roman;serif" w:hAnsi="Times New Roman;serif"/>
                  <w:b w:val="false"/>
                  <w:color w:val="0000FF"/>
                  <w:sz w:val="20"/>
                  <w:u w:val="single"/>
                </w:rPr>
                <w:t>5</w:t>
              </w:r>
            </w:hyperlink>
          </w:p>
        </w:tc>
      </w:tr>
      <w:tr>
        <w:trPr/>
        <w:tc>
          <w:tcPr>
            <w:tcW w:w="78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a5e4b2a84d414e9ebdf6b92fe5ff44_22">
              <w:r>
                <w:rPr>
                  <w:rStyle w:val="InternetLink"/>
                  <w:rFonts w:ascii="Times New Roman;serif" w:hAnsi="Times New Roman;serif"/>
                  <w:b w:val="false"/>
                  <w:color w:val="0000FF"/>
                  <w:sz w:val="20"/>
                  <w:u w:val="single"/>
                </w:rPr>
                <w:t>DESCRIPTION OF CAPITAL STOCK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a5e4b2a84d414e9ebdf6b92fe5ff44_22">
              <w:r>
                <w:rPr>
                  <w:rStyle w:val="InternetLink"/>
                  <w:rFonts w:ascii="Times New Roman;serif" w:hAnsi="Times New Roman;serif"/>
                  <w:b w:val="false"/>
                  <w:color w:val="0000FF"/>
                  <w:sz w:val="20"/>
                  <w:u w:val="single"/>
                </w:rPr>
                <w:t>6</w:t>
              </w:r>
            </w:hyperlink>
          </w:p>
        </w:tc>
      </w:tr>
      <w:tr>
        <w:trPr/>
        <w:tc>
          <w:tcPr>
            <w:tcW w:w="78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a5e4b2a84d414e9ebdf6b92fe5ff44_25">
              <w:r>
                <w:rPr>
                  <w:rStyle w:val="InternetLink"/>
                  <w:rFonts w:ascii="Times New Roman;serif" w:hAnsi="Times New Roman;serif"/>
                  <w:b w:val="false"/>
                  <w:color w:val="0000FF"/>
                  <w:sz w:val="20"/>
                  <w:u w:val="single"/>
                </w:rPr>
                <w:t>SPECIAL NOTE REGARDING FORWARD-LOOKING STATEMENTS AND INDUSTRY DATA</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a5e4b2a84d414e9ebdf6b92fe5ff44_25">
              <w:r>
                <w:rPr>
                  <w:rStyle w:val="InternetLink"/>
                  <w:rFonts w:ascii="Times New Roman;serif" w:hAnsi="Times New Roman;serif"/>
                  <w:b w:val="false"/>
                  <w:color w:val="0000FF"/>
                  <w:sz w:val="20"/>
                  <w:u w:val="single"/>
                </w:rPr>
                <w:t>8</w:t>
              </w:r>
            </w:hyperlink>
          </w:p>
        </w:tc>
      </w:tr>
      <w:tr>
        <w:trPr/>
        <w:tc>
          <w:tcPr>
            <w:tcW w:w="78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a5e4b2a84d414e9ebdf6b92fe5ff44_28">
              <w:r>
                <w:rPr>
                  <w:rStyle w:val="InternetLink"/>
                  <w:rFonts w:ascii="Times New Roman;serif" w:hAnsi="Times New Roman;serif"/>
                  <w:b w:val="false"/>
                  <w:color w:val="0000FF"/>
                  <w:sz w:val="20"/>
                  <w:u w:val="single"/>
                </w:rPr>
                <w:t>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a5e4b2a84d414e9ebdf6b92fe5ff44_28">
              <w:r>
                <w:rPr>
                  <w:rStyle w:val="InternetLink"/>
                  <w:rFonts w:ascii="Times New Roman;serif" w:hAnsi="Times New Roman;serif"/>
                  <w:b w:val="false"/>
                  <w:color w:val="0000FF"/>
                  <w:sz w:val="20"/>
                  <w:u w:val="single"/>
                </w:rPr>
                <w:t>10</w:t>
              </w:r>
            </w:hyperlink>
          </w:p>
        </w:tc>
      </w:tr>
      <w:tr>
        <w:trPr/>
        <w:tc>
          <w:tcPr>
            <w:tcW w:w="78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a5e4b2a84d414e9ebdf6b92fe5ff44_31">
              <w:r>
                <w:rPr>
                  <w:rStyle w:val="InternetLink"/>
                  <w:rFonts w:ascii="Times New Roman;serif" w:hAnsi="Times New Roman;serif"/>
                  <w:b w:val="false"/>
                  <w:color w:val="0000FF"/>
                  <w:sz w:val="20"/>
                  <w:u w:val="single"/>
                </w:rPr>
                <w:t>SELLING STOCKHOLDERS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a5e4b2a84d414e9ebdf6b92fe5ff44_31">
              <w:r>
                <w:rPr>
                  <w:rStyle w:val="InternetLink"/>
                  <w:rFonts w:ascii="Times New Roman;serif" w:hAnsi="Times New Roman;serif"/>
                  <w:b w:val="false"/>
                  <w:color w:val="0000FF"/>
                  <w:sz w:val="20"/>
                  <w:u w:val="single"/>
                </w:rPr>
                <w:t>11</w:t>
              </w:r>
            </w:hyperlink>
          </w:p>
        </w:tc>
      </w:tr>
      <w:tr>
        <w:trPr/>
        <w:tc>
          <w:tcPr>
            <w:tcW w:w="78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a5e4b2a84d414e9ebdf6b92fe5ff44_34">
              <w:r>
                <w:rPr>
                  <w:rStyle w:val="InternetLink"/>
                  <w:rFonts w:ascii="Times New Roman;serif" w:hAnsi="Times New Roman;serif"/>
                  <w:b w:val="false"/>
                  <w:color w:val="0000FF"/>
                  <w:sz w:val="20"/>
                  <w:u w:val="single"/>
                </w:rPr>
                <w:t>PLAN OF DISTRIBUTION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a5e4b2a84d414e9ebdf6b92fe5ff44_34">
              <w:r>
                <w:rPr>
                  <w:rStyle w:val="InternetLink"/>
                  <w:rFonts w:ascii="Times New Roman;serif" w:hAnsi="Times New Roman;serif"/>
                  <w:b w:val="false"/>
                  <w:color w:val="0000FF"/>
                  <w:sz w:val="20"/>
                  <w:u w:val="single"/>
                </w:rPr>
                <w:t>16</w:t>
              </w:r>
            </w:hyperlink>
          </w:p>
        </w:tc>
      </w:tr>
      <w:tr>
        <w:trPr/>
        <w:tc>
          <w:tcPr>
            <w:tcW w:w="78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a5e4b2a84d414e9ebdf6b92fe5ff44_37">
              <w:r>
                <w:rPr>
                  <w:rStyle w:val="InternetLink"/>
                  <w:rFonts w:ascii="Times New Roman;serif" w:hAnsi="Times New Roman;serif"/>
                  <w:b w:val="false"/>
                  <w:color w:val="0000FF"/>
                  <w:sz w:val="20"/>
                  <w:u w:val="single"/>
                </w:rPr>
                <w:t>LEGAL MATTERS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a5e4b2a84d414e9ebdf6b92fe5ff44_37">
              <w:r>
                <w:rPr>
                  <w:rStyle w:val="InternetLink"/>
                  <w:rFonts w:ascii="Times New Roman;serif" w:hAnsi="Times New Roman;serif"/>
                  <w:b w:val="false"/>
                  <w:color w:val="0000FF"/>
                  <w:sz w:val="20"/>
                  <w:u w:val="single"/>
                </w:rPr>
                <w:t>18</w:t>
              </w:r>
            </w:hyperlink>
          </w:p>
        </w:tc>
      </w:tr>
      <w:tr>
        <w:trPr/>
        <w:tc>
          <w:tcPr>
            <w:tcW w:w="78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a5e4b2a84d414e9ebdf6b92fe5ff44_40">
              <w:r>
                <w:rPr>
                  <w:rStyle w:val="InternetLink"/>
                  <w:rFonts w:ascii="Times New Roman;serif" w:hAnsi="Times New Roman;serif"/>
                  <w:b w:val="false"/>
                  <w:color w:val="0000FF"/>
                  <w:sz w:val="20"/>
                  <w:u w:val="single"/>
                </w:rPr>
                <w:t>EXPERTS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a5e4b2a84d414e9ebdf6b92fe5ff44_40">
              <w:r>
                <w:rPr>
                  <w:rStyle w:val="InternetLink"/>
                  <w:rFonts w:ascii="Times New Roman;serif" w:hAnsi="Times New Roman;serif"/>
                  <w:b w:val="false"/>
                  <w:color w:val="0000FF"/>
                  <w:sz w:val="20"/>
                  <w:u w:val="single"/>
                </w:rPr>
                <w:t>18</w:t>
              </w:r>
            </w:hyperlink>
          </w:p>
        </w:tc>
      </w:tr>
      <w:tr>
        <w:trPr/>
        <w:tc>
          <w:tcPr>
            <w:tcW w:w="78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a5e4b2a84d414e9ebdf6b92fe5ff44_43">
              <w:r>
                <w:rPr>
                  <w:rStyle w:val="InternetLink"/>
                  <w:rFonts w:ascii="Times New Roman;serif" w:hAnsi="Times New Roman;serif"/>
                  <w:b w:val="false"/>
                  <w:color w:val="0000FF"/>
                  <w:sz w:val="20"/>
                  <w:u w:val="single"/>
                </w:rPr>
                <w:t>WHERE YOU CAN FIND MORE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a5e4b2a84d414e9ebdf6b92fe5ff44_43">
              <w:r>
                <w:rPr>
                  <w:rStyle w:val="InternetLink"/>
                  <w:rFonts w:ascii="Times New Roman;serif" w:hAnsi="Times New Roman;serif"/>
                  <w:b w:val="false"/>
                  <w:color w:val="0000FF"/>
                  <w:sz w:val="20"/>
                  <w:u w:val="single"/>
                </w:rPr>
                <w:t>18</w:t>
              </w:r>
            </w:hyperlink>
          </w:p>
        </w:tc>
      </w:tr>
      <w:tr>
        <w:trPr/>
        <w:tc>
          <w:tcPr>
            <w:tcW w:w="78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a5e4b2a84d414e9ebdf6b92fe5ff44_46">
              <w:r>
                <w:rPr>
                  <w:rStyle w:val="InternetLink"/>
                  <w:rFonts w:ascii="Times New Roman;serif" w:hAnsi="Times New Roman;serif"/>
                  <w:b w:val="false"/>
                  <w:color w:val="0000FF"/>
                  <w:sz w:val="20"/>
                  <w:u w:val="single"/>
                </w:rPr>
                <w:t>INCORPORATION OF DOCUMENTS BY REFERENCE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a5e4b2a84d414e9ebdf6b92fe5ff44_46">
              <w:r>
                <w:rPr>
                  <w:rStyle w:val="InternetLink"/>
                  <w:rFonts w:ascii="Times New Roman;serif" w:hAnsi="Times New Roman;serif"/>
                  <w:b w:val="false"/>
                  <w:color w:val="0000FF"/>
                  <w:sz w:val="20"/>
                  <w:u w:val="single"/>
                </w:rPr>
                <w:t>19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ABOUT THIS PROSPECTUS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is part of a registration statement on Form S-3 that we filed with the Securities and Exchange Commission (the “SEC”) using a “shelf” registration or continuous offering process.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read this prospectus and the information and documents incorporated by reference carefully. Such documents contain important information you should consider when making your investment decision. See “Where You Can Find More Information” and “Incorporation of Documents by Reference” in this prospectus.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may be supplemented from time to time to add, update or change information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Neither we nor the selling stockholders have authorized any other person to provide you with different information. If anyone provides you with different or inconsistent information, you should not rely on it.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as well as information we have filed with the SEC that is incorporated by reference, is accurate as of the date on the front of those documents only, regardless of the time of delivery of this prospectus or any applicable prospectus supplement, or any sale of a security. Our business, financial condition, results of operations and prospects may have changed since those dates.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“Where You Can Find More Information.”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Unless otherwise stated or the context requires otherwise, references in this prospectus to “CAMP4,” the “company” or the “Company,” “we,” “us,” or “our” refer to CAMP4 Therapeutics Corporation and our subsidiary on a consolidated basis, as appropriate, unless the context otherwise requires.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PROSPECTUS SUMMARY</w:t>
      </w:r>
    </w:p>
    <w:p>
      <w:pPr>
        <w:pStyle w:val="TextBody"/>
        <w:bidi w:val="0"/>
        <w:spacing w:lineRule="auto" w:line="288" w:before="0" w:after="180"/>
        <w:jc w:val="left"/>
        <w:rPr>
          <w:rFonts w:ascii="Times New Roman;serif" w:hAnsi="Times New Roman;serif"/>
          <w:b w:val="false"/>
          <w:i/>
          <w:color w:val="000000"/>
          <w:sz w:val="20"/>
          <w:bdr w:val="single" w:sz="8" w:space="36" w:color="000000"/>
        </w:rPr>
      </w:pPr>
      <w:r>
        <w:rPr>
          <w:rFonts w:ascii="Times New Roman;serif" w:hAnsi="Times New Roman;serif"/>
          <w:b w:val="false"/>
          <w:i/>
          <w:color w:val="000000"/>
          <w:sz w:val="20"/>
          <w:bdr w:val="single" w:sz="8" w:space="36" w:color="000000"/>
        </w:rPr>
        <w:t>This summary highlights selected information included or incorporated by reference in this prospectus and does not contain all of the information that may be important to you. You should carefully review this entire prospectus and any supplements to this prospectus, including the risk factors and financial statements included or incorporated by reference herein or therein.</w: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Company Overview </w:t>
      </w:r>
    </w:p>
    <w:p>
      <w:pPr>
        <w:pStyle w:val="TextBody"/>
        <w:bidi w:val="0"/>
        <w:spacing w:lineRule="auto" w:line="288" w:before="0" w:after="180"/>
        <w:jc w:val="left"/>
        <w:rPr>
          <w:bdr w:val="single" w:sz="8" w:space="36" w:color="000000"/>
        </w:rPr>
      </w:pPr>
      <w:r>
        <w:rPr>
          <w:rFonts w:ascii="Times New Roman;serif" w:hAnsi="Times New Roman;serif"/>
          <w:b w:val="false"/>
          <w:color w:val="000000"/>
          <w:sz w:val="20"/>
          <w:bdr w:val="single" w:sz="8" w:space="36" w:color="000000"/>
        </w:rPr>
        <w:t xml:space="preserve">We are a clinical-stage biopharmaceutical company pioneering the discovery and development of a new class of RNA-targeting therapeutics with the goal of upregulating gene expression and restoring healthy protein levels to treat a broad range of genetic diseases. Our lead product candidate, CMP-002, has the potential to be the first disease-modifying therapy for the treatment of synaptic Ras GTPase activating protein 1 (“SYNGAP1”)-related disorder, or SYNGAP1, a severe developmental and epileptic encephalopathy (“DEE”) characterized by seizures, developmental delays, and cognitive impairments. SYNGAP1 is caused by haploinsufficiency of the </w:t>
      </w:r>
      <w:r>
        <w:rPr>
          <w:rFonts w:ascii="Times New Roman;serif" w:hAnsi="Times New Roman;serif"/>
          <w:b w:val="false"/>
          <w:i/>
          <w:color w:val="000000"/>
          <w:sz w:val="20"/>
          <w:bdr w:val="single" w:sz="8" w:space="36" w:color="000000"/>
        </w:rPr>
        <w:t>SYNGAP1</w:t>
      </w:r>
      <w:r>
        <w:rPr>
          <w:color w:val="000000"/>
          <w:bdr w:val="single" w:sz="8" w:space="36" w:color="000000"/>
        </w:rPr>
        <w:t xml:space="preserve"> </w:t>
      </w:r>
      <w:r>
        <w:rPr>
          <w:rFonts w:ascii="Times New Roman;serif" w:hAnsi="Times New Roman;serif"/>
          <w:b w:val="false"/>
          <w:color w:val="000000"/>
          <w:sz w:val="20"/>
          <w:bdr w:val="single" w:sz="8" w:space="36" w:color="000000"/>
        </w:rPr>
        <w:t>gene, where mutation of one functional gene copy results in a reduction in SYNGAP protein levels of up to 50%. While we believe that it remains underdiagnosed, we estimate that there are approximately 21,000 individuals living with SYNGAP1 in the United States and the five largest European markets. There are no approved disease-modifying therapies for SYNGAP1.</w:t>
      </w:r>
    </w:p>
    <w:p>
      <w:pPr>
        <w:pStyle w:val="TextBody"/>
        <w:bidi w:val="0"/>
        <w:spacing w:lineRule="auto" w:line="288" w:before="0" w:after="180"/>
        <w:jc w:val="left"/>
        <w:rPr>
          <w:bdr w:val="single" w:sz="8" w:space="36" w:color="000000"/>
        </w:rPr>
      </w:pPr>
      <w:r>
        <w:rPr>
          <w:rFonts w:ascii="Times New Roman;serif" w:hAnsi="Times New Roman;serif"/>
          <w:b w:val="false"/>
          <w:color w:val="000000"/>
          <w:sz w:val="20"/>
          <w:bdr w:val="single" w:sz="8" w:space="36" w:color="000000"/>
        </w:rPr>
        <w:t xml:space="preserve">CMP-002 is a novel, intrathecally delivered antisense oligonucleotide (“ASO”) designed to target the </w:t>
      </w:r>
      <w:r>
        <w:rPr>
          <w:rFonts w:ascii="Times New Roman;serif" w:hAnsi="Times New Roman;serif"/>
          <w:b w:val="false"/>
          <w:i/>
          <w:color w:val="000000"/>
          <w:sz w:val="20"/>
          <w:bdr w:val="single" w:sz="8" w:space="36" w:color="000000"/>
        </w:rPr>
        <w:t>SYNGAP1</w:t>
      </w:r>
      <w:r>
        <w:rPr>
          <w:color w:val="000000"/>
          <w:bdr w:val="single" w:sz="8" w:space="36" w:color="000000"/>
        </w:rPr>
        <w:t xml:space="preserve"> </w:t>
      </w:r>
      <w:r>
        <w:rPr>
          <w:rFonts w:ascii="Times New Roman;serif" w:hAnsi="Times New Roman;serif"/>
          <w:b w:val="false"/>
          <w:color w:val="000000"/>
          <w:sz w:val="20"/>
          <w:bdr w:val="single" w:sz="8" w:space="36" w:color="000000"/>
        </w:rPr>
        <w:t xml:space="preserve">gene at the transcriptional level to increase gene expression, which may increase SYNGAP protein levels in amounts sufficient to yield therapeutic benefit. In preclinical studies, intracerebroventricular injection of CMP-002 restored SYNGAP protein levels to near normal range in haploinsufficient mice carrying a single copy of the human </w:t>
      </w:r>
      <w:r>
        <w:rPr>
          <w:rFonts w:ascii="Times New Roman;serif" w:hAnsi="Times New Roman;serif"/>
          <w:b w:val="false"/>
          <w:i/>
          <w:color w:val="000000"/>
          <w:sz w:val="20"/>
          <w:bdr w:val="single" w:sz="8" w:space="36" w:color="000000"/>
        </w:rPr>
        <w:t>SYNGAP1</w:t>
      </w:r>
      <w:r>
        <w:rPr>
          <w:color w:val="000000"/>
          <w:bdr w:val="single" w:sz="8" w:space="36" w:color="000000"/>
        </w:rPr>
        <w:t xml:space="preserve"> </w:t>
      </w:r>
      <w:r>
        <w:rPr>
          <w:rFonts w:ascii="Times New Roman;serif" w:hAnsi="Times New Roman;serif"/>
          <w:b w:val="false"/>
          <w:color w:val="000000"/>
          <w:sz w:val="20"/>
          <w:bdr w:val="single" w:sz="8" w:space="36" w:color="000000"/>
        </w:rPr>
        <w:t>gene after a single dose and rescued motor defects and spatial learning defects following two doses. A single dose of CMP-002 also produced a statistically significant improvement in both seizure threshold and severity of chemically induced tonic-clonic seizures in SYNGAP1 haploinsufficient mice, suggesting the potential for therapeutic benefit across both the neurodevelopmental and seizure phenotypes that characterize SYNGAP1-related disorder. In addition, biweekly intrathecal injections of CMP-002 in cynomolgus monkeys were well tolerated and significantly increased SYNGAP protein levels across multiple brain regions clinically relevant to the disease, with dose-linear increases of CMP-002 in disease-relevant brain regions. In July 2026, we announced that we had received clearance from Australia’s Therapeutic Goods Administration and the local Human Research Ethics Committee to initiate our Phase 1/2 clinical trial of CMP-002 in individuals with SYNGAP1.</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Our product development efforts are enabled by our proprietary RAP Platform. We leverage our RAP Platform to identify and characterize regulatory RNAs (“regRNAs”), which play a central role in the regulation of every protein-coding gene by contributing to gene activation and suppression. Our approach is designed to amplify messenger RNA (“mRNA”) expression by harnessing the power of regRNAs that form localized complexes with transcription factors and regulate gene expression. Our RAP Platform allows us to rapidly and systematically identify and characterize the active regulatory elements controlling every expressed gene and tens of thousands of druggable enhancer and promoter regRNA sequences that control protein-coding genes. Once a disease-associated target gene is identified, we apply our RAP Platform to identify the controlling regRNA and rapidly generate novel ASO candidates. These ASOs are designed to bind to the identified regRNA and amplify the expression of the target gene in a specific and controllable way.</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Our primary therapeutic focus is on diseases of the central nervous system (“CNS”), where there are numerous rare and prevalent haploinsufficient diseases with no approved treatments for which a modest increase in protein expression has the potential to be clinically meaningful. In addition to our SYNGAP1 program, we are advancing discovery programs in other CNS indications. We also intend to leverage strategic discovery partnerships, including our research, collaboration, and license agreement with GlaxoSmithKline, to extend the application of our RAP Platform beyond the CNS and validate our approach to gene upregulation in additional tissues and disease areas.</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Our principal executive offices are located at 100 Talcott Avenue, Suite 201, Watertown, Massachusetts 02472 and our telephone number is (617) 651-8867. Our website address is www.camp4tx.com. The information contained on, or accessible through, our website is not incorporated by reference into this prospectus. We have included our </w:t>
      </w:r>
    </w:p>
    <w:p>
      <w:pPr>
        <w:pStyle w:val="TextBody"/>
        <w:bidi w:val="0"/>
        <w:spacing w:before="0" w:after="18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website in this prospectus solely as an inactive textual reference, and investors should not rely on any such information in deciding whether to purchase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RISK FACTORS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An investment in our securities involves risks. Prior to making a decision about investing in our securities, you should consider carefully the risks together with all of the other information contained or incorporated by reference in this prospectus, including any risks described in the section entitled “Risk Factors” contained in any supplements to this prospectus, in our Annual Report on Form 10-K for the year ended December 31, 2025 and in our subsequent filings with the SEC. Each of the referenced risks and uncertainties could adversely affect our business, prospects, operating results and financial condition, as well as adversely affect the value of an investment in our securities. Additional risks not known to us or that we believe are immaterial may also adversely affect our business, operating results and financial condition and the value of an investment in our securities.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Risks Related to This Offering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sale of the securities registered for resale hereunder and future sales of substantial amounts of our securities in the public market (including the shares of Common Stock issuable upon the exercise of the 2026 Pre-Funded Warrants), or the perception that such sales may occur, may cause the market price of our Common Stock to decline significantly.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Resale Shares represent a substantial percentage of our total outstanding Common Stock as of the date of this prospectus. The Resale Shares being offered for resale in this prospectus represent approximately 38.6% of our total outstanding Common Stock as of August 3, 2026, assuming the exercise of the 2026 Pre-Funded Warrants into shares of Common Stock without giving effect to beneficial ownership limitations, if any. The sale of the Resale Shares in the public market, or the perception that holders of a large number of securities intend to sell their securities, could significantly reduce the market price of our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cannot predict if and when the selling stockholders may sell such shares in the public markets. Furthermore, in the future, we may issue additional shares of Common Stock or other equity or debt securities convertible into shares of Common Stock. Any such issuance could result in substantial dilution to our existing stockholders and could cause our stock price to decline.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PRIVATE PLACEMENT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9, 2025, the Company entered into a securities purchase agreement (the “Purchase Agreement”) with the selling stockholders named in this prospectus, pursuant to which the Company agreed to sell to the selling stockholders certain securities, in up to two closings in a private placement transaction (the “Private Placement”). The initial closing occurred on September 11, 2025 (the “Initial Closing”). At the Initial Closing, the Company issued 26,717,414 shares of the Company’s Common Stock and 6,003,758 pre-funded warrants (the “2025 Pre-Funded Warrants”) for net cash proceeds of $46.7 million, after deducting $3.3 million in issuance costs and legal fees. The Purchase Agreement also contemplates a second closing of the Private Placement (the “Second Closing”). The Second Closing was triggered upon the achievement of the CTA Milestone (as defined in the Purchase Agreement) and the Company’s receipt of a Price Threshold Waiver (as defined in the Purchase Agreement) (together, the “Second Closing Trigger”). Pursuant to the Purchase Agreement, the Second Closing occurred on August 3, 2026. At the Second Closing, the Company sold to the selling stockholders 10,756,498 shares of Common Stock at a purchase price of $1.53 per share, 21,925,368 Pre-Funded Warrants at a purchase price of $1.5299 per Pre-Funded Warrant to certain investors in lieu of shares of Common Stock, and 39,306 shares of Common Stock at a purchase price of $1.65 per share to certain directors, consultants and members of management of the Company. The gross proceeds of the Second Closing were approximately $50.1 million, before deducting placement agent fees and other expenses.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and the selling stockholders entered into a Registration Rights Agreement, dated September 9, 2025 (the “Registration Rights Agreement”), providing for the registration for resale of the shares of our Common Stock and the shares of Common Stock issuable upon exercise of the 2026 Pre-Funded Warrants sold in connection with the Private Placement. The Company agreed to file the registration statement of which this prospectus is a part, registering such shares with the SEC, no later than September 2, 2026. The Company has agreed to use reasonable best efforts to keep such registration statement continuously effective pursuant to Rule 415 promulgated under the Securities Act of 1933, as amended (the “Securities Act”) from the date on which the SEC declares the registration statement to be effective until the earlier of (i) the date on which the selling stockholders shall have resold all the Registrable Securities (as such term is defined in the Registration Rights Agreement) covered thereby and (ii) the date on which the Registrable Securities may be resold by the selling stockholders without registration and without regard to any volume or manner-of-sale limitations by reason of Rule 144 (“Rule 144”) as promulgated by the SEC under the Securities Act and without current public information pursuant to Rule 144.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CAPITAL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description of our capital stock is incorporated by reference to Exhibit 4.1 of our Annual Report on Form 10-K for the year ended December 31, 2025, as filed with the SEC on March 5, 2026.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2026 Pre-Funded Warrants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material terms and provisions of the 2026 Pre-Funded Warrants to purchase shares of Common Stock are summarized below. This summary is subject to and qualified in its entirety by the form of pre-funded warrant, which was filed with the SEC as an exhibit to our Current Report on Form 8-K on September 10, 2025. </w:t>
      </w:r>
    </w:p>
    <w:p>
      <w:pPr>
        <w:pStyle w:val="TextBody"/>
        <w:bidi w:val="0"/>
        <w:spacing w:lineRule="auto" w:line="288" w:before="0" w:after="180"/>
        <w:jc w:val="left"/>
        <w:rPr/>
      </w:pPr>
      <w:r>
        <w:rPr>
          <w:rFonts w:ascii="Times New Roman;serif" w:hAnsi="Times New Roman;serif"/>
          <w:b w:val="false"/>
          <w:i/>
          <w:color w:val="000000"/>
          <w:sz w:val="20"/>
        </w:rPr>
        <w:t>Exercisability</w:t>
      </w:r>
      <w:r>
        <w:rPr>
          <w:rFonts w:ascii="Times New Roman;serif" w:hAnsi="Times New Roman;serif"/>
          <w:b w:val="false"/>
          <w:color w:val="000000"/>
          <w:sz w:val="20"/>
        </w:rPr>
        <w:t xml:space="preserve">. Holders may exercise the 2026 Pre-Funded Warrants at any time or from time to time until exercised in full. As further described under “Selling Stockholders,” notwithstanding the foregoing, certain holders will be prohibited from exercising the 2026 Pre-Funded Warrants into shares of our Common Stock if, as a result of such exercise, the holder, together with its affiliates, would own more than a specific percentage (initially, 4.99% or 9.99%, as determined by the holder) of the total number of shares of our Common Stock then issued and outstanding; provided, however that a holder may from time to time increase or decrease such maximum percentage to any other percentage not in excess of 19.99% by giving 61 days’ notice to the Company (the “Beneficial Ownership Limitation”). The 2026 Pre-Funded Warrants are exercisable, at the option of each holder, in whole or in part, by delivering to us a duly executed exercise notice accompanied by payment in full for the number of shares of our Common Stock purchased upon such exercise (except in the case of a cashless exercise as discussed below). </w:t>
      </w:r>
    </w:p>
    <w:p>
      <w:pPr>
        <w:pStyle w:val="TextBody"/>
        <w:bidi w:val="0"/>
        <w:spacing w:lineRule="auto" w:line="288" w:before="0" w:after="180"/>
        <w:jc w:val="left"/>
        <w:rPr/>
      </w:pPr>
      <w:r>
        <w:rPr>
          <w:rFonts w:ascii="Times New Roman;serif" w:hAnsi="Times New Roman;serif"/>
          <w:b w:val="false"/>
          <w:i/>
          <w:color w:val="000000"/>
          <w:sz w:val="20"/>
        </w:rPr>
        <w:t>Exercise Price</w:t>
      </w:r>
      <w:r>
        <w:rPr>
          <w:rFonts w:ascii="Times New Roman;serif" w:hAnsi="Times New Roman;serif"/>
          <w:b w:val="false"/>
          <w:color w:val="000000"/>
          <w:sz w:val="20"/>
        </w:rPr>
        <w:t xml:space="preserve">. The exercise price upon exercise of each 2026 Pre-Funded Warrant is $0.0001 per share of Common Stock, with an aggregate exercise price of $1.53 per share of Common Stock, of which $1.5299 per share of Common Stock was paid by the holders at the closing. The exercise price of the 2026 Pre-Funded Warrants is subject to appropriate adjustment in the event of stock dividends, subdivisions, stock splits, stock combinations, cash distributions, reclassifications, exchanges, combinations or substitutions affecting our Common Stock. </w:t>
      </w:r>
    </w:p>
    <w:p>
      <w:pPr>
        <w:pStyle w:val="TextBody"/>
        <w:bidi w:val="0"/>
        <w:spacing w:lineRule="auto" w:line="288" w:before="0" w:after="180"/>
        <w:jc w:val="left"/>
        <w:rPr/>
      </w:pPr>
      <w:r>
        <w:rPr>
          <w:rFonts w:ascii="Times New Roman;serif" w:hAnsi="Times New Roman;serif"/>
          <w:b w:val="false"/>
          <w:i/>
          <w:color w:val="000000"/>
          <w:sz w:val="20"/>
        </w:rPr>
        <w:t>Payment of Exercise Price</w:t>
      </w:r>
      <w:r>
        <w:rPr>
          <w:rFonts w:ascii="Times New Roman;serif" w:hAnsi="Times New Roman;serif"/>
          <w:b w:val="false"/>
          <w:color w:val="000000"/>
          <w:sz w:val="20"/>
        </w:rPr>
        <w:t xml:space="preserve">. The 2026 Pre-Funded Warrant holders have the option to provide payment of the exercise price of the shares being acquired upon exercise of the 2026 Pre-Funded Warrants (i) by payment acceptable to us or (ii) by cashless exercise. </w:t>
      </w:r>
    </w:p>
    <w:p>
      <w:pPr>
        <w:pStyle w:val="TextBody"/>
        <w:bidi w:val="0"/>
        <w:spacing w:lineRule="auto" w:line="288" w:before="0" w:after="180"/>
        <w:jc w:val="left"/>
        <w:rPr/>
      </w:pPr>
      <w:r>
        <w:rPr>
          <w:rFonts w:ascii="Times New Roman;serif" w:hAnsi="Times New Roman;serif"/>
          <w:b w:val="false"/>
          <w:i/>
          <w:color w:val="000000"/>
          <w:sz w:val="20"/>
        </w:rPr>
        <w:t>Cashless Exercise</w:t>
      </w:r>
      <w:r>
        <w:rPr>
          <w:rFonts w:ascii="Times New Roman;serif" w:hAnsi="Times New Roman;serif"/>
          <w:b w:val="false"/>
          <w:color w:val="000000"/>
          <w:sz w:val="20"/>
        </w:rPr>
        <w:t xml:space="preserve">. In lieu of making the cash payment otherwise contemplated to be made to us upon such exercise in payment of the aggregate exercise price, the holders of 2026 Pre-Funded Warrants may elect instead to receive upon such exercise the net number of shares of Common Stock determined according to a formula set forth in the 2026 Pre-Funded Warrant. </w:t>
      </w:r>
    </w:p>
    <w:p>
      <w:pPr>
        <w:pStyle w:val="TextBody"/>
        <w:bidi w:val="0"/>
        <w:spacing w:lineRule="auto" w:line="288" w:before="0" w:after="180"/>
        <w:jc w:val="left"/>
        <w:rPr/>
      </w:pPr>
      <w:r>
        <w:rPr>
          <w:rFonts w:ascii="Times New Roman;serif" w:hAnsi="Times New Roman;serif"/>
          <w:b w:val="false"/>
          <w:i/>
          <w:color w:val="000000"/>
          <w:sz w:val="20"/>
        </w:rPr>
        <w:t>Transferability</w:t>
      </w:r>
      <w:r>
        <w:rPr>
          <w:rFonts w:ascii="Times New Roman;serif" w:hAnsi="Times New Roman;serif"/>
          <w:b w:val="false"/>
          <w:color w:val="000000"/>
          <w:sz w:val="20"/>
        </w:rPr>
        <w:t xml:space="preserve">. Subject to applicable laws and the restriction on transfer set forth in the 2026 Pre-Funded Warrants, the 2026 Pre-Funded Warrants may be transferred. </w:t>
      </w:r>
    </w:p>
    <w:p>
      <w:pPr>
        <w:pStyle w:val="TextBody"/>
        <w:bidi w:val="0"/>
        <w:spacing w:lineRule="auto" w:line="288" w:before="0" w:after="180"/>
        <w:jc w:val="left"/>
        <w:rPr/>
      </w:pPr>
      <w:r>
        <w:rPr>
          <w:rFonts w:ascii="Times New Roman;serif" w:hAnsi="Times New Roman;serif"/>
          <w:b w:val="false"/>
          <w:i/>
          <w:color w:val="000000"/>
          <w:sz w:val="20"/>
        </w:rPr>
        <w:t>Fundamental Transactions</w:t>
      </w:r>
      <w:r>
        <w:rPr>
          <w:rFonts w:ascii="Times New Roman;serif" w:hAnsi="Times New Roman;serif"/>
          <w:b w:val="false"/>
          <w:color w:val="000000"/>
          <w:sz w:val="20"/>
        </w:rPr>
        <w:t xml:space="preserve">. Upon the consummation of a fundamental transaction (as described in the 2026 Pre-Funded Warrants, and generally including any reorganization, recapitalization or reclassification of our common stock, the sale, transfer or other disposition of all or substantially all of our assets, our consolidation or merger with or into another person in which we are not the surviving entity, the acquisition of more than 50% of our outstanding common stock, or any person or group becoming the beneficial owner of 50% of the voting power of our outstanding common stock), a holder of the 2026 Pre-Funded Warrants will be entitled to receive, upon exercise of the 2026 Pre-Funded Warrants, the same kind and amount of securities, cash or other property that such holder would have received had they exercised the 2026 Pre-Funded Warrants immediately prior to such fundamental transaction, without regard to any limitations on exercise contained in the 2026 Pre-Funded Warrants. </w:t>
      </w:r>
    </w:p>
    <w:p>
      <w:pPr>
        <w:pStyle w:val="TextBody"/>
        <w:bidi w:val="0"/>
        <w:spacing w:lineRule="auto" w:line="288" w:before="0" w:after="180"/>
        <w:jc w:val="left"/>
        <w:rPr/>
      </w:pPr>
      <w:r>
        <w:rPr>
          <w:rFonts w:ascii="Times New Roman;serif" w:hAnsi="Times New Roman;serif"/>
          <w:b w:val="false"/>
          <w:i/>
          <w:color w:val="000000"/>
          <w:sz w:val="20"/>
        </w:rPr>
        <w:t>Rights as a Stockholder</w:t>
      </w:r>
      <w:r>
        <w:rPr>
          <w:rFonts w:ascii="Times New Roman;serif" w:hAnsi="Times New Roman;serif"/>
          <w:b w:val="false"/>
          <w:color w:val="000000"/>
          <w:sz w:val="20"/>
        </w:rPr>
        <w:t xml:space="preserve">. Except for the right to participate in certain dividends and distributions and as otherwise provided in the 2026 Pre-Funded Warrants or by virtue of a holder’s ownership of our Common Stock, the holders of the 2026 Pre-Funded Warrants do not have the rights or privileges of holders of our Common Stock, including any voting rights, until they exercise their 2026 Pre-Funded Warrants. </w:t>
      </w:r>
    </w:p>
    <w:p>
      <w:pPr>
        <w:pStyle w:val="TextBody"/>
        <w:bidi w:val="0"/>
        <w:spacing w:before="0" w:after="18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180"/>
        <w:jc w:val="left"/>
        <w:rPr/>
      </w:pPr>
      <w:r>
        <w:rPr>
          <w:rFonts w:ascii="Times New Roman;serif" w:hAnsi="Times New Roman;serif"/>
          <w:b w:val="false"/>
          <w:i/>
          <w:color w:val="000000"/>
          <w:sz w:val="20"/>
        </w:rPr>
        <w:t>Waivers and Amendments</w:t>
      </w:r>
      <w:r>
        <w:rPr>
          <w:rFonts w:ascii="Times New Roman;serif" w:hAnsi="Times New Roman;serif"/>
          <w:b w:val="false"/>
          <w:color w:val="000000"/>
          <w:sz w:val="20"/>
        </w:rPr>
        <w:t>. No term of the 2026 Pre-Funded Warrants may be amended or waived without the written consent of the holder of such 2026 Pre-Funded Warrants.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 AND INDUSTRY DATA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any prospectus supplement, any free writing prospectus and the other documents we have filed with the SEC that are incorporated herein by reference, contain forward-looking statements that involve substantial risks and uncertainties because they relate to events and depend on circumstances that may or may not occur in the future. All statements other than statements of historical fact contained in this prospectus, including statements regarding our strategy, future operations, future financial position, prospects, plans, objectives of management and expected growth, are forward-looking statements. These statements are based on our current beliefs, expectations and assumptions regarding our intentions, beliefs or current expectations concerning, among other things, the future of our business, future plans and strategies, our operational results and other future conditions.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some cases, you can identify forward-looking statements by terms such as “may,” “will,” “should,” “expect,” “plan,” “anticipate,” “could,” “intend,” “target,” “project,” “estimate,” “believe,” “predict,” “potential” or “continue” or the negative of these terms or other similar expressions intended to identify statements about the future, although not all forward-looking statements contain these identifying words. These forward-looking statements include, without limitation, statements about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initiation, timing, progress, results and costs of our research and development programs and of our current and future preclinical studies and clinical trials of our product candidates, including statements regarding the timing of initiation and completion of studies or trials and related preparatory work, as well as the period during which the results of the trials are expected to become available;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timing of our planned regulatory submissions, initiation of planned clinical trials and timing of expected clinical results for our current and future product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timing of any submissions of filings for regulatory approval of, and our ability to obtain and maintain regulatory approvals for, any of our product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obtain and maintain the benefits of regulatory designations, including orphan drug designation, for our product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identify patients with the diseases treated by our product candidates, and to enroll patients in trials;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expectations regarding the size of the patient populations, market acceptance and opportunity for and clinical utility of our product candidates, if approved for commercial use;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reliance on third party manufacturing partners to comply with significant regulations with respect to manufacturing our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expectations regarding the scope of any approved indication for any product candidate;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successfully commercialize our product candidates, if approved;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leverage our RAP Platform to identify and develop future product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estimates of our expenses, ongoing losses, future revenue, capital requirements and our need for or ability to obtain additional funding before we can expect to generate any revenue from product sales;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establish or maintain strategic collaborations or arrangements, including potential business development opportunities and potential licensing partnerships, and our ability to attract collaborators with development, regulatory and commercialization expertise;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identify, recruit and retain key personnel;</w:t>
      </w:r>
    </w:p>
    <w:p>
      <w:pPr>
        <w:pStyle w:val="TextBody"/>
        <w:bidi w:val="0"/>
        <w:spacing w:before="0" w:after="18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reliance upon intellectual property licensed from third parties and our ability to obtain such licenses on commercially reasonable terms or at all;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protect and enforce our intellectual property position for our product candidates, and the scope of such protection;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financial performance;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sufficiency of our existing cash and cash equivalents to fund our future operating expenses and capital expenditure requirements;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competitive position and the development of and projections relating to our competitors or our industry;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estimates regarding future expenses and needs for additional financing;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impact of laws and regulations;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effect of changes in international trade policies and general economic, industry, geopolitical and market conditions, such as uncertainties related to military conflict or war, tariffs (including tariffs that have been or may in the future be imposed by the United States or other countries), sanctions, trade protection measures or other trade barriers, inflation and financial institution instability, or pandemic or epidemic disease outbreaks, many of which are beyond our control, as well as the value of our common stock and our ability to access capital markets;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expectations regarding the time during which we will be an emerging growth company and smaller reporting company under the Jumpstart Our Business Startups Act of 2012.</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Although we base these forward-looking statements on assumptions that we believe are reasonable when made, we caution you that forward-looking statements are not guarantees of future performance and that our actual results of operations, financial condition and liquidity, and the development of the industry in which we operate may differ materially from those made in or suggested by the forward-looking statements contained in this prospectus. In addition, even if our results of operations, financial condition and liquidity, and the development of the industry in which we operate are consistent with the forward-looking statements contained in this prospectus, those results or developments may not be indicative of results or developments in subsequent periods.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Given these risks and uncertainties, you are cautioned not to place undue reliance on these forward-looking statements. Any forward-looking statement that we make in this prospectus speaks only as of the date of such statement. Except as required by law, we assume no obligation to update these forward-looking statements publicly, or to update the reasons actual results could differ materially from those anticipated in any forward-looking statements, whether as a result of new information, future events or otherwise. Comparisons of results for current and any prior periods are not intended to express any future trends or indications of future performance, unless specifically expressed as such, and should only be viewed as historical data. You should, therefore, not rely on these forward-looking statements as representing our views as of any date subsequent to the date of this prospectus.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Unless otherwise indicated, market and industry data contained in this prospectus, including potential market opportunities, is based on our management’s estimates and research, as well as industry and general publications and research and studies conducted by third parties. Although we believe that the information from these third-party publications, research and studies included in this prospectus is reliable, and we are responsible for the accuracy of such information, we have not independently verified the accuracy or completeness of this information. Management’s estimates are derived from publicly available information, their knowledge of our industry and their assumptions based on such information and knowledge, which we believe to be reasonable. This data involves a number of assumptions and limitations and the industry in which we operate is subject to a high degree of uncertainty and risk due to a variety of factors, including those described in the section “Risk Factors” in this prospectus, in our Annual Report on Form 10-K for the year ended December 31, 2025, and in our subsequent filings with the SEC. These and other factors could cause our future performance to differ materially from our assumptions and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USE OF PROCEEDS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All of the shares of Common Stock offered by the selling stockholders pursuant to this prospectus will be sold by the selling stockholders for their respective accounts. We will not receive any of the proceeds from these sales.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selling stockholders will bear all discounts and commissions, if any, and expenses incurred by them for brokerage, accounting, tax or legal services or any other expenses incurred in disposing of the Common Stock. We will bear the costs, fees and expenses incurred in effecting the registration of the shares covered by this prospectus, including, without limitation, all registration and filing fees, Nasdaq listing fees and fees and expenses of our counsel and our independent registered public accounting firm.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receive proceeds from the exercise of the 2026 Pre-Funded Warrants to the extent any are exercised for cash but not from the sale of the shares of Common Stock issuable upon such exercise. If any of the 2026 Pre-Funded Warrants are exercised on a net exercise cashless basis, we would not receive any cash payment from the applicable selling stockholder upon any such exercise. Unless otherwise disclosed in a prospectus supplement, we intend to use any net proceeds from the exercise of 2026 Pre-Funded Warrants to fund the preclinical and clinical development of CMP-002, and for working capital and other general corporate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SELLING STOCKHOLDERS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Registration Rights Agreement, we agreed to (i) file the registration statement of which this prospectus is a part to cover the resale of the shares of Common Stock and the shares of Common Stock issuable upon exercise of the 2026 Pre-Funded Warrants, which the selling stockholders acquired as part of the Second Closing pursuant to the Purchase Agreement and (ii) to use reasonable best efforts to keep such registration statement continuously effective pursuant to Rule 415 promulgated under the Securities Act from the date on which the SEC declares the registration statement to be effective until the earlier of (x) the date on which the selling stockholders shall have resold all the Registrable Securities (as such term is defined in the Registration Rights Agreement) covered thereby, and (y) the date on which the Registrable Securities may be resold by the selling stockholders without registration and without regard to any volume or manner-of-sale limitations by reason of Rule 144 and without current public information pursuant to Rule 144.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are registering the resale of the above-referenced securities to permit each of the selling stockholders identified below, or their permitted transferees or other successors-in-interest that may be identified in a supplement to this prospectus or, if required, a post-effective amendment to the registration statement of which this prospectus is a part to resell or otherwise dispose of the securities in the manner contemplated under “Plan of Distribution” in this prospectus (as may be supplemented and amended). This prospectus covers the sale or other disposition by the selling stockholders of up to the total number of shares of Common Stock that were issued or issuable upon exercise of the 2026 Pre-Funded Warrants issued to the selling stockholders in the Second Closing of the Private Placement. Throughout this prospectus, when we refer to the securities being registered on behalf of the selling stockholders, we are referring to the shares of Common Stock or shares of Common Stock issuable upon the exercise of the 2026 Pre-Funded Warrants issued in the Second Closing pursuant to the Purchase Agreement. When we refer to “selling stockholders” in this prospectus, we mean those persons listed in the table below, as well as their permitted transferees, pledgees or donees or other successors-in-interest that may be identified in a supplement to this prospectus or, if required, a post-effective amendment to the registration statement of which this prospectus is a part. The selling stockholders may sell some, all or none of their shares of Common Stock. We do not know for how long the selling stockholders will hold the shares before selling them, and we currently have no agreements, arrangements or understandings with the selling stockholders regarding the sale or other disposition of any of the shares. The shares of Common Stock covered hereby may be offered from time to time by the selling stockholders.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regarding shares beneficially owned after the offering assumes the sale of all shares of Common Stock offered by the selling stockholders. To our knowledge, subject to community property laws where applicable, each person named in the table has sole voting and investment power with respect to the shares of Common Stock set forth opposite such person’s name.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name of each selling stockholder, the number and percentage of shares of Common Stock beneficially owned by the selling stockholders as of August 3, 2026, the number of shares of Common Stock that may be offered under this prospectus, and the number and percentage of Common Stock beneficially owned by the selling stockholders, assuming all of the shares of Common Stock registered hereunder are sold. Beneficial ownership is determined in accordance with the rules of the SEC and includes voting or investment power with respect to the Common Stock. Generally, a person “beneficially owns” shares of the Common Stock if the person has or shares with others the right to vote those shares or to dispose of them, or if the person has the right to acquire voting or disposition rights within 60 days of August 3, 2026.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number of shares described under the column “Shares of Common Stock Beneficially Owned Prior to this Offering” for each selling stockholder includes all shares of our Common Stock beneficially held by such selling stockholder as of August 3, 2026, which includes (i) all shares of our Common Stock purchased by such selling stockholder in the Second Closing, and (ii) all of the shares of Common Stock issuable upon exercise of the 2026 Pre-Funded Warrants purchased by such selling stockholder in the Second Closing, not reflecting the Beneficial Ownership Limitation. Because each selling stockholder may dispose of all, none or some portion of their shares of Common Stock, no estimate can be given as to the number of shares that will be beneficially owned by a selling stockholder upon termination of this offering. </w:t>
      </w:r>
    </w:p>
    <w:p>
      <w:pPr>
        <w:pStyle w:val="TextBody"/>
        <w:bidi w:val="0"/>
        <w:spacing w:before="0" w:after="18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purposes of the table below, however, we have assumed that after termination of this offering none of the shares covered by this prospectus will be beneficially owned by the selling stockholders and further assumed that the selling stockholders will not acquire or dispose of beneficial ownership of any additional shares of Common Stock during the offering. In addition, the selling stockholders may have sold, transferred or otherwise disposed of, or may sell, transfer or otherwise dispose of, at any time and from time to time, any or all of their shares of Common Stock or interests in shares of Common Stock in transactions exempt from the registration requirements of the Securities Act after the date on which the information in the table is presented. See the section titled “Plan of Distribution.”</w:t>
      </w:r>
    </w:p>
    <w:tbl>
      <w:tblPr>
        <w:tblW w:w="10205" w:type="dxa"/>
        <w:jc w:val="left"/>
        <w:tblInd w:w="0" w:type="dxa"/>
        <w:tblLayout w:type="fixed"/>
        <w:tblCellMar>
          <w:top w:w="28" w:type="dxa"/>
          <w:left w:w="28" w:type="dxa"/>
          <w:bottom w:w="28" w:type="dxa"/>
          <w:right w:w="28" w:type="dxa"/>
        </w:tblCellMar>
      </w:tblPr>
      <w:tblGrid>
        <w:gridCol w:w="985"/>
        <w:gridCol w:w="640"/>
        <w:gridCol w:w="652"/>
        <w:gridCol w:w="109"/>
        <w:gridCol w:w="109"/>
        <w:gridCol w:w="109"/>
        <w:gridCol w:w="1059"/>
        <w:gridCol w:w="754"/>
        <w:gridCol w:w="756"/>
        <w:gridCol w:w="109"/>
        <w:gridCol w:w="109"/>
        <w:gridCol w:w="109"/>
        <w:gridCol w:w="775"/>
        <w:gridCol w:w="460"/>
        <w:gridCol w:w="461"/>
        <w:gridCol w:w="109"/>
        <w:gridCol w:w="109"/>
        <w:gridCol w:w="109"/>
        <w:gridCol w:w="601"/>
        <w:gridCol w:w="375"/>
        <w:gridCol w:w="168"/>
        <w:gridCol w:w="168"/>
        <w:gridCol w:w="168"/>
        <w:gridCol w:w="168"/>
        <w:gridCol w:w="294"/>
        <w:gridCol w:w="241"/>
        <w:gridCol w:w="499"/>
      </w:tblGrid>
      <w:tr>
        <w:trPr/>
        <w:tc>
          <w:tcPr>
            <w:tcW w:w="98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2277"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Name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Shares of Common Stock Beneficially Owned Prior to this Offering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Shares of Common Stock Offered</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Beneficial Ownership After this Offering</w:t>
            </w:r>
            <w:r>
              <w:rPr>
                <w:rFonts w:ascii="Times New Roman;serif" w:hAnsi="Times New Roman;serif"/>
                <w:b/>
                <w:color w:val="000000"/>
                <w:sz w:val="10"/>
              </w:rPr>
              <w:t>(4)</w:t>
            </w:r>
          </w:p>
        </w:tc>
      </w:tr>
      <w:tr>
        <w:trPr/>
        <w:tc>
          <w:tcPr>
            <w:tcW w:w="2277"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Shares </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w:t>
            </w:r>
            <w:r>
              <w:rPr>
                <w:rFonts w:ascii="Times New Roman;serif" w:hAnsi="Times New Roman;serif"/>
                <w:b/>
                <w:color w:val="000000"/>
                <w:sz w:val="10"/>
              </w:rPr>
              <w:t>(3)</w:t>
            </w:r>
          </w:p>
        </w:tc>
      </w:tr>
      <w:tr>
        <w:trPr/>
        <w:tc>
          <w:tcPr>
            <w:tcW w:w="22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Coastlands Capital Partners LP</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12,850,128 </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6,765,264 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6,084,864 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Entities affiliated with Janus Henderson</w:t>
            </w:r>
            <w:r>
              <w:rPr>
                <w:rFonts w:ascii="Times New Roman;serif" w:hAnsi="Times New Roman;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12,995,351 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6,687,715 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6,307,636 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Atlas Private Holdings (Cayman) Ltd</w:t>
            </w:r>
            <w:r>
              <w:rPr>
                <w:rFonts w:ascii="Times New Roman;serif" w:hAnsi="Times New Roman;serif"/>
                <w:b w:val="false"/>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8,194,447 </w:t>
            </w:r>
          </w:p>
        </w:tc>
        <w:tc>
          <w:tcPr>
            <w:tcW w:w="7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4,458,477 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3,735,970 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Entities affiliated with Vivo Opportunity Fund</w:t>
            </w:r>
            <w:r>
              <w:rPr>
                <w:rFonts w:ascii="Times New Roman;serif" w:hAnsi="Times New Roman;serif"/>
                <w:b w:val="false"/>
                <w:color w:val="000000"/>
                <w:sz w:val="13"/>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8,705,046 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4,458,478 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4,246,568 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5AM Ventures VII, L.P.</w:t>
            </w:r>
            <w:r>
              <w:rPr>
                <w:color w:val="000000"/>
              </w:rPr>
              <w:t xml:space="preserve"> </w:t>
            </w:r>
            <w:r>
              <w:rPr>
                <w:rFonts w:ascii="Times New Roman;serif" w:hAnsi="Times New Roman;serif"/>
                <w:b w:val="false"/>
                <w:color w:val="000000"/>
                <w:sz w:val="13"/>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9,048,649 </w:t>
            </w:r>
          </w:p>
        </w:tc>
        <w:tc>
          <w:tcPr>
            <w:tcW w:w="7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3,179,558 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5,869,091 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Adage Capital Partners, LP</w:t>
            </w:r>
            <w:r>
              <w:rPr>
                <w:rFonts w:ascii="Times New Roman;serif" w:hAnsi="Times New Roman;serif"/>
                <w:b w:val="false"/>
                <w:color w:val="000000"/>
                <w:sz w:val="13"/>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4,190,023 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2,229,239 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1,960,784 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Trails Edge Biotechnology Master Fund, LP</w:t>
            </w:r>
            <w:r>
              <w:rPr>
                <w:rFonts w:ascii="Times New Roman;serif" w:hAnsi="Times New Roman;serif"/>
                <w:b w:val="false"/>
                <w:color w:val="000000"/>
                <w:sz w:val="13"/>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3,790,636 </w:t>
            </w:r>
          </w:p>
        </w:tc>
        <w:tc>
          <w:tcPr>
            <w:tcW w:w="7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1,857,699 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1,932,937 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Stonepine Capital, LP</w:t>
            </w:r>
            <w:r>
              <w:rPr>
                <w:rFonts w:ascii="Times New Roman;serif" w:hAnsi="Times New Roman;serif"/>
                <w:b w:val="false"/>
                <w:color w:val="000000"/>
                <w:sz w:val="13"/>
              </w:rPr>
              <w:t>(12)</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2,823,349 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1,486,160 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1,337,189 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Funds affiliated with SilverArc Capital</w:t>
            </w:r>
            <w:r>
              <w:rPr>
                <w:rFonts w:ascii="Times New Roman;serif" w:hAnsi="Times New Roman;serif"/>
                <w:b w:val="false"/>
                <w:color w:val="000000"/>
                <w:sz w:val="13"/>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1,396,671 </w:t>
            </w:r>
          </w:p>
        </w:tc>
        <w:tc>
          <w:tcPr>
            <w:tcW w:w="7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743,077 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653,594 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SynGAP Research Fund, Inc. dba CURE SYNGAP1</w:t>
            </w:r>
            <w:r>
              <w:rPr>
                <w:rFonts w:ascii="Times New Roman;serif" w:hAnsi="Times New Roman;serif"/>
                <w:b w:val="false"/>
                <w:color w:val="000000"/>
                <w:sz w:val="13"/>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680,080 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353,283 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326,797 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Skye Peak Partners LLC</w:t>
            </w:r>
            <w:r>
              <w:rPr>
                <w:rFonts w:ascii="Times New Roman;serif" w:hAnsi="Times New Roman;serif"/>
                <w:b w:val="false"/>
                <w:color w:val="000000"/>
                <w:sz w:val="13"/>
              </w:rPr>
              <w:t>(15)</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544,063 </w:t>
            </w:r>
          </w:p>
        </w:tc>
        <w:tc>
          <w:tcPr>
            <w:tcW w:w="7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282,626 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261,437 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Red Hook Fund LP</w:t>
            </w:r>
            <w:r>
              <w:rPr>
                <w:rFonts w:ascii="Times New Roman;serif" w:hAnsi="Times New Roman;serif"/>
                <w:b w:val="false"/>
                <w:color w:val="000000"/>
                <w:sz w:val="13"/>
              </w:rPr>
              <w:t>(16)</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149,666 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74,307 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75,359 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Jeremy M Sclar 2012 Irrevocable Family Trust</w:t>
            </w:r>
            <w:r>
              <w:rPr>
                <w:rFonts w:ascii="Times New Roman;serif" w:hAnsi="Times New Roman;serif"/>
                <w:b w:val="false"/>
                <w:color w:val="000000"/>
                <w:sz w:val="13"/>
              </w:rPr>
              <w:t>(17)</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287,478 </w:t>
            </w:r>
          </w:p>
        </w:tc>
        <w:tc>
          <w:tcPr>
            <w:tcW w:w="7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70,656 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216,822 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Peter Tuxen Bisgaard</w:t>
            </w:r>
            <w:r>
              <w:rPr>
                <w:rFonts w:ascii="Times New Roman;serif" w:hAnsi="Times New Roman;serif"/>
                <w:b w:val="false"/>
                <w:color w:val="000000"/>
                <w:sz w:val="13"/>
              </w:rPr>
              <w:t>(18)</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68,006 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35,327 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Richard Young</w:t>
            </w:r>
            <w:r>
              <w:rPr>
                <w:rFonts w:ascii="Times New Roman;serif" w:hAnsi="Times New Roman;serif"/>
                <w:b w:val="false"/>
                <w:color w:val="000000"/>
                <w:sz w:val="13"/>
              </w:rPr>
              <w:t>(19)</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295,759 </w:t>
            </w:r>
          </w:p>
        </w:tc>
        <w:tc>
          <w:tcPr>
            <w:tcW w:w="7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16,378 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279,381 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Josh Mandel-Brehm</w:t>
            </w:r>
            <w:r>
              <w:rPr>
                <w:rFonts w:ascii="Times New Roman;serif" w:hAnsi="Times New Roman;serif"/>
                <w:b w:val="false"/>
                <w:color w:val="000000"/>
                <w:sz w:val="13"/>
              </w:rPr>
              <w:t>(20)</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919,508 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6,551 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912,957 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Kelly Gold</w:t>
            </w:r>
            <w:r>
              <w:rPr>
                <w:rFonts w:ascii="Times New Roman;serif" w:hAnsi="Times New Roman;serif"/>
                <w:b w:val="false"/>
                <w:color w:val="000000"/>
                <w:sz w:val="13"/>
              </w:rPr>
              <w:t>(21)</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278,803 </w:t>
            </w:r>
          </w:p>
        </w:tc>
        <w:tc>
          <w:tcPr>
            <w:tcW w:w="7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6,551 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272,252 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Yuri Maricich</w:t>
            </w:r>
            <w:r>
              <w:rPr>
                <w:rFonts w:ascii="Times New Roman;serif" w:hAnsi="Times New Roman;serif"/>
                <w:b w:val="false"/>
                <w:color w:val="000000"/>
                <w:sz w:val="13"/>
              </w:rPr>
              <w:t>(22)</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140,373 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6,551 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133,822 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Leonard Zon</w:t>
            </w:r>
            <w:r>
              <w:rPr>
                <w:rFonts w:ascii="Times New Roman;serif" w:hAnsi="Times New Roman;serif"/>
                <w:b w:val="false"/>
                <w:color w:val="000000"/>
                <w:sz w:val="13"/>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170,883 </w:t>
            </w:r>
          </w:p>
        </w:tc>
        <w:tc>
          <w:tcPr>
            <w:tcW w:w="7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3,275 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167,608 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*Less than one percent of outstanding Common Stock</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(1)All information regarding selling stockholders was provided by the selling stockholders.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(2)The number of shares of Common Stock in the column “Shares of Common Stock Offered” represents all of the shares of Common Stock that a selling stockholder may offer and sell from time to time under this prospectus, including (i) all shares of Common Stock purchased by such selling stockholder in the Second Closing and (ii) all of the shares of Common Stock issuable upon exercise of the 2026 Pre-Funded Warrants purchased by such selling stockholder in the Second Closing, without giving effect to the Beneficial Ownership Limitation, if any.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(3)Percentage ownership is based on a denominator equal to the sum of (i) 62,753,200 shares of Common Stock outstanding as of August 3, 2026 and (ii) the number of shares of Common Stock issuable upon exercise or conversion of convertible securities beneficially owned by the applicable selling stockholder.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(4)Assumes that all shares of Common Stock being registered under the registration statement of which this prospectus forms a part are sold in this offering, and that none of the selling stockholders acquire additional shares of our Common Stock after the date of this prospectus and prior to completion of this offering. </w:t>
      </w:r>
    </w:p>
    <w:p>
      <w:pPr>
        <w:pStyle w:val="TextBody"/>
        <w:bidi w:val="0"/>
        <w:spacing w:lineRule="auto" w:line="288"/>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(5)The shares reported under “Shares of Common Stock Beneficially Owned Prior to this Offering” consist of 6,765,264 shares of Common Stock issuable upon the exercise of 2026 Pre-Funded Warrants (which does not reflect the beneficial ownership conversion limitation described below) purchased by Coastlands Capital Partners LP (“Coastlands Capital”) in the Second Closing. The pre-funded warrants, including the 2026 Pre-Funded Warrants, held by Coastlands Capital are subject to a beneficial ownership conversion limitation such that Coastlands Capital cannot convert pre-funded warrants held by it to the extent it would result in Coastlands Capital and its affiliates beneficially owning more than 9.99% of the Company’s outstanding shares of Common Stock. Coastlands Capital LP is the investment adviser to Coastlands Capital and Coastlands Capital GP LLC (“Coastlands GP”) is the general partner of Coastlands Capital. Coastlands Capital LLC (the “General Partner”, and together with Coastlands Capital, Coastlands Capital LP and Coastlands GP, the “Coastlands </w:t>
      </w:r>
    </w:p>
    <w:p>
      <w:pPr>
        <w:pStyle w:val="TextBody"/>
        <w:bidi w:val="0"/>
        <w:spacing w:before="0" w:after="18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Entities”) is the general partner of Coastlands Capital LP. Matthew D. Perry is the control person of the Coastlands Entities. The Coastlands Entities and Mr. Perry each disclaims membership in a group. The Coastlands Entities and Mr. Perry also each disclaims beneficial ownership of the shares of Common Stock except to the extent of such entity or person’s pecuniary interest therein. The address and principal office of the Coastlands Entities and Mr. Perry is 601 California St., Suite 1210, San Francisco, CA 94108.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(6)The shares reported under “Shares of Common Stock Beneficially Owned Prior to this Offering” include (i) 1,211,226 shares of Common Stock and 4,259,104 shares of Common Stock issuable upon the exercise of 2026 Pre-Funded Warrants (which does not reflect the beneficial ownership conversion limitation described below) purchased by Janus Henderson Biotech Innovation Master Fund Limited (“JHBIF”) in the Second Closing, and (ii) 269,551 shares of Common Stock and 947,834 shares of Common Stock issuable upon the exercise of 2026 Pre-Funded Warrants (which does not reflect the beneficial ownership conversion limitation described below) purchased by Janus Henderson Biotech Innovation Master Fund II Limited (“JHBIF2”) in the Second Closing. The pre-funded warrants held by JHBIF and JHBIF2 (collectively, the “Janus Funds”), including the 2025 Pre-Funded Warrants purchased by the Janus Funds in the Initial Closing, prohibit the exercise thereof if, after giving effect to such exercise, the beneficial ownership of the Janus Funds and their affiliates and any person whose beneficial ownership would be attributable to such entities would exceed 9.99%. These shares may be deemed to be beneficially owned by Janus Henderson Investors US LLC (“Janus”), an investment adviser registered under the Investment Advisers Act of 1940, who acts as investment adviser for the Janus Funds and has the ability to make decisions with respect to the voting and disposition of the shares subject to the oversight of the board of directors of the Janus Funds. Under the terms of its management contract with the Janus Funds, Janus has overall responsibility for directing the investments of the Janus Funds in accordance with the Janus Funds’ investment objective, policies and limitations. The Janus Funds have one or more portfolio managers appointed by and serving at the pleasure of Janus who makes decisions with respect to the disposition of the shares of Common Stock offered hereby. The portfolio managers for the Janus Funds are Andrew Acker, Daniel S. Lyons and Agustin Mohedas. Each of Mr. Acker, Mr. Lyons and Mr. Mohedas disclaims any beneficial ownership of these shares. The address of Janus and each of the Janus Funds is c/o Janus Henderson Investors US LLC, 151 Detroit Street, Denver, CO 80206.</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(7)The shares reported under “Shares of Common Stock Beneficially Owned Prior to this Offering” include 805,804 shares of Common Stock and 3,652,673 shares of Common Stock issuable upon the exercise of 2026 Pre-Funded Warrants (which does not reflect the beneficial ownership conversion limitation described below) purchased by Atlas Private Holdings (Cayman) Ltd. (“Atlas”) in the Second Closing. The pre-funded warrants held by Atlas, including the 2025 Pre-Funded Warrants purchased by Atlas in the Initial Closing, are subject to a beneficial ownership conversion limitation such that Atlas cannot convert the 2025 Pre-Funded Warrants or the 2026 Pre-Funded Warrants held by it to the extent it would result in Atlas and its affiliates beneficially owning more than 4.99% of the Company’s outstanding shares of Common Stock. Balyasny Asset Management L.P. (“BAM”) serves as investment adviser to Atlas. Dmitry Balyasny, via intermediate entities, manages and has voting and investment control over the reported securities. The address and principal office of Atlas is 444 West Lake Street, 50th Floor, Chicago, IL 60606.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(8)The shares reported under “Shares of Common Stock Beneficially Owned Prior to this Offering” include (i) 4,776,626 shares of Common Stock and 2,834,612 shares of Common Stock issuable upon the exercise of 2026 Pre-Funded Warrants (which does not reflect the beneficial ownership conversion limitation described below) purchased by Vivo Opportunity Fund Holdings, L.P. (“Vivo”) in the Private Placement, including 1,214,833 shares of Common Stock purchased in the Second Closing, (ii) 482,485 shares of Common Stock and 286,323 shares of Common Stock issuable upon the exercise of 2026 Pre-Funded Warrants (which does not reflect the beneficial ownership conversion limitation described below) purchased by Vivo Opportunity Cayman Fund, L.P. (“Vivo Cayman,” and together with Vivo, the “Vivo Opportunity Funds”) in the Private Placement, including 122,710 shares of Common Stock purchased in the Second Closing, (iii) 295,198 shares of Common Stock previously purchased by Vivo and (iv) 29,802 shares of Common Stock previously purchased by Vivo Cayman. The 2026 Pre-Funded Warrants held by the Vivo Opportunity Funds are subject to a beneficial ownership conversion limitation such that the Vivo Opportunity Funds cannot convert the 2026 Pre-Funded Warrants held by them to the extent it would result in the Vivo Opportunity Funds and their affiliates beneficially owning more than 9.99% of the Company’s outstanding shares of Common Stock. Vivo Opportunity, LLC is the general partner of Vivo and may be deemed to share voting, investment and dispositive power over the shares held by Vivo. Vivo Opportunity Cayman, LLC is the general partner of Vivo Cayman and may be deemed to share voting, investment and dispositive power over the shares held by Vivo Cayman. The voting members of each of Vivo Opportunity, LLC and Vivo Opportunity Cayman, LLC are Kevin Dai, Gaurav Aggarwal, Frank Kung and Shan Fu, none of whom has individual voting or investment power with respect to the shares held by Vivo or Vivo Cayman. The address of each of the individuals and entities referenced in this footnote is c/o Vivo Capital LLC, 192 Lytton Avenue, Palo Alto, California 94301.</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(9)The shares reported under “Shares of Common Stock Beneficially Owned Prior to this Offering” include (i) 6,120,734 shares of Common Stock purchased by 5AM Ventures VII, L.P. (“Ventures VII”) in the Private Placement, including 3,179,558 shares of Common Stock issuable upon the exercise of 2026 Pre-Funded Warrants (which does not reflect the beneficial ownership conversion limitation described below) purchased by Ventures VII in the Second Closing, (ii) 2,625,145 shares of Common Stock previously purchased by 5AM Ventures VI, L.P. (“Ventures VI”) and (iii) 302,770 shares of Common Stock previously purchased by 5AM Opportunities II, L.P. (“Opportunities II”). The 2026 Pre-Funded Warrants held by Ventures VII are subject to a beneficial ownership conversion limitation such that Ventures VII cannot convert the 2026 Pre-Funded Warrants held by it to the extent it would result in Ventures VII and its affiliates beneficially owning more than 9.99% of the Company’s outstanding shares of Common Stock. 5AM Partners VII, LLC (“Partners VII”) is the sole general partner of Ventures VII. 5AM Partners VI, LLC (“Partners VI”) is the sole general partner of Ventures VI. 5AM Opportunities II (GP), LLC (“Opportunities II GP”) is the sole general partner of Opportunities II. Dr. Kush M. Parmar and Andrew J. Schwab are the managing members of Partners VII, Partners VI and Opportunities II GP and may be deemed to have shared voting and investment power over the securities beneficially owned by Ventures VII, Ventures VI and Opportunities II. Each of Partners VII, Partners VI, Opportunities II, Dr. Parmar, and Mr. Schwab disclaims beneficial ownership of such securities except to the extent of its or his respective pecuniary interest therein. Mr. Schwab is a member of the Company’s board of directors. The address and principal office of the persons and entities referenced in this footnote is c/o 5AM Ventures, 4 Embarcadero Center, Suite 3110, San Francisco, CA 94111.</w:t>
      </w:r>
    </w:p>
    <w:p>
      <w:pPr>
        <w:pStyle w:val="TextBody"/>
        <w:bidi w:val="0"/>
        <w:spacing w:lineRule="auto" w:line="288"/>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(10)The shares reported under “Shares of Common Stock Beneficially Owned Prior to this Offering” consist of 4,190,023 shares of Common Stock purchased by Adage Capital Partners, L.P. in the Private Placement, including 2,229,239 shares of Common Stock purchased in the Second Closing. Bob Atchinson and Phillip Gross are the managing members of Adage Capital Advisors, L.L.C., which is the managing member of Adage Capital Partners GP, L.L.C., which is the general partner of Adage, and each such person or entity, as the case may be, </w:t>
      </w:r>
    </w:p>
    <w:p>
      <w:pPr>
        <w:pStyle w:val="TextBody"/>
        <w:bidi w:val="0"/>
        <w:spacing w:before="0" w:after="18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has shared voting and/or investment power over the securities held by Adage Capital Partners, LP and may be deemed the beneficial owner of such shares, and each such person or entity, as the case may be, disclaims beneficial ownership of such securities except to the extent of their respective pecuniary interest therein. The address of these funds and persons is 200 Clarendon St., 52nd Floor, Boston, MA 02116.</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(11)The shares reported under “Shares of Common Stock Beneficially Owned Prior to this Offering” consist of (i) 3,491,685 shares of Common Stock purchased by Trails Edge Biotechnology Master Fund, LP (“Trails Edge Biotechnology”) in the Private Placement, including 1,857,699 shares of Common Stock purchased in the Second Closing, and (ii) 298,951 shares of Common Stock previously purchased by Trails Edge Biotechnology. Trails Edge Capital Partners, LP (“Trails Edge Capital”), as the investment manager to Trails Edge Biotechnology, may be deemed to beneficially own these securities. Mr. Yehudai, as the Chief Investment Officer of Trails Edge Capital, exercises voting and investment discretion with respect to these securities and as such may be deemed to beneficially own such securities. The address of these funds and persons is 3445 Peachtree Road NE, Suite 900, Atlanta, GA 30326.</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(12)The shares reported under “Shares of Common Stock Beneficially Owned Prior to this Offering” include (i) 1,486,160 shares of Common Stock purchased by Stonepine Capital, LP (“Stonepine Capital”) in the Second Closing and (ii) 70,000 shares of Common Stock previously purchased by Stonepine Capital. Stonepine Capital purchased an aggregate of 2,793,349 shares of Common Stock in the Private Placement. Jon M. Plexico exercises voting and investment discretion with respect to these securities and as such may be deemed to beneficially own the shares held by Stonepine Capital. The address of these funds and persons is 2900 NW Clearwater Drive, Ste 100-11, Bend, OR 97703.</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(13)The shares reported under “Shares of Common Stock Beneficially Owned Prior to this Offering” consist of (i) 37,689 shares of Common Stock purchased by SilverArc Capital Alpha Fund I, L.P. (“Fund I”) in the Private Placement, including 20,063 shares of Common Stock purchased in the Second Closing, (ii) 353,402 shares of common stock purchased by Squarepoint Diversified Partners Fund Limited (“Squarepoint”) in the Private Placement, including 187,998 shares of Common Stock purchased in the Second Closing, and (iii) 1,005,580 shares of common stock purchased by SilverArc Capital Alpha Fund II, L.P. (“Fund II”) in the Private Placement, including 535,016 shares of Common Stock purchased in the Second Closing. SilverArc Capital Management, LLC is the controlling entity of Fund I, Fund II, Squarepoint, and is solely owned by Devesh Gandhi. Mr. Gandhi may be deemed to have shared voting and investment discretion of the securities managed by SilverArc Capital Management, LLC. Mr. Gandhi disclaims beneficial ownership of such securities, except to the extent of his pecuniary interest therein. The address of each of the persons and entities referenced in this footnote is 20 Park Plaza, 4th Floor, Boston, MA 02116.</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(14)The shares reported under “Shares of Common Stock Beneficially Owned Prior to this Offering” consist of 680,080 shares of Common Stock purchased by Syngap Research Fund Incorporated (dba “CURE SYNGAP1”) in the Private Placement, including 353,283 shares of Common Stock purchased in the Second Closing. J. Michael Graglia exercises voting and investment discretion with respect to these securities and as such may be deemed to beneficially own the shares held by Syngap Research Fund Incorporated. The address of these funds and persons is 2856 Curie Place, San Diego, CA 92122-4136.</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(15)The shares reported under “Shares of Common Stock Beneficially Owned Prior to this Offering” include 282,626 shares of Common Stock purchased by Skye Peak Partners LLC in the Second Closing. Skye Peak Partners LLC purchased an aggregate of 544,063 shares of Common Stock in the Private Placement. Emmett H. Gordon exercises voting and investment discretion with respect to these securities and as such may be deemed to beneficially own the shares held by Skye Peak Partners LLC. The address of these funds and persons is c/o Trove, PO Box 962049, Boston, MA 02196.</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(16)The shares reported under “Shares of Common Stock Beneficially Owned Prior to this Offering” consist of (i) 139,666 shares of Common Stock purchased by Red Hook Fund LP (the “Red Hook Fund”) in the Private Placement, including 74,307 shares of Common Stock purchased in the Second Closing and (ii) 10,000 shares of Common Stock previously purchased by the Red Hook Fund. Red Hook Asset Management LLC (the “Investment Manager”), a Delaware limited liability company, is the investment advisor to the Red Hook Fund and Red Hook Fund GP LLC (“General Partner”) is the general partner of the Red Hook Fund. Mathew Lazarus and Jeff Lopatin are the managing members of the Investment Manager and the General Partner, and may each be deemed to beneficially own the shares beneficially owned by the Red Hook Fund LP. Mathew Lazarus and Jeff Lopatin each disclaims beneficial ownership of securities beneficially owned by the Red Hook Fund LP. The address of these funds and persons is 44 Ball Road, Mountain Lakes, NJ 07046.</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(17)The shares reported under “Shares of Common Stock Beneficially Owned Prior to this Offering” consist of (i) 136,015 shares of Common Stock purchased by the Jeremy M. Sclar 2012 Irrevocable Family Trust in the Private Placement, including 70,656 shares of Common Stock purchased in the Second Closing and (ii) 151,463 shares of Common Stock previously purchased by the Jeremy M. Sclar 2012 Irrevocable Family Trust. Richard A. Marks and Kerry Ann Sclar exercise voting and investment discretion with respect to these securities and as such may be deemed to beneficially own the shares held by Jeremy M. Sclar 2012 Irrevocable Family Trust. The address of the Jeremy M. Sclar 2012 Irrevocable Family Trust is 33 Boylston Street, Suite 3000, Chestnut Hill, MA 02467.</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(18)The shares reported under “Shares of Common Stock Beneficially Owned Prior to this Offering” consist of 68,006 shares of Common Stock purchased by Peter Tuxen Bisgaard in the Private Placement, including 35,327 shares of Common Stock purchased in the Second Closing. Mr. Bisgaard’s address is 35 Woodview Lane, Woodside, CA 94062.</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(19)The shares reported under “Shares of Common Stock Beneficially Owned Prior to this Offering” consist of (i) 31,529 shares of Common Stock purchased by Richard Young in the Private Placement, including 16,378 shares of Common Stock purchased in the Second Closing, (ii) 154,859 shares of Common Stock previously granted to or purchased by Dr. Young and (iii) 109,371 shares of Common Stock underlying stock options exercisable within 60 days of August 3, 2026. Dr. Young is a member of the Company’s board of directors. Dr. Young’s address is c/o CAMP4 Therapeutics Corporation, 100 Talcott Avenue, Suite 201, Watertown, Massachusetts 02472.</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(20)The shares reported under “Shares of Common Stock Beneficially Owned Prior to this Offering” consist of (i) 12,611 shares of Common Stock purchased by Josh Mandel-Brehm in the Private Placement, including 6,551 shares of Common Stock purchased in the Second Closing, (ii) 272,357 shares of Common Stock previously granted to or purchased by Mr. Mandel-Brehm and (iii) 634,540 shares of Common Stock underlying stock options exercisable within 60 days of August 3, 2026. Mr. Mandel-Brehm is the President and Chief Executive Officer of the Company. Mr. Mandel-Brehm’s address is c/o CAMP4 Therapeutics Corporation, 100 Talcott Avenue, Suite 201, Watertown, Massachusetts 02472.</w:t>
      </w:r>
    </w:p>
    <w:p>
      <w:pPr>
        <w:pStyle w:val="TextBody"/>
        <w:bidi w:val="0"/>
        <w:spacing w:lineRule="auto" w:line="288"/>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(21)The shares reported under “Shares of Common Stock Beneficially Owned Prior to this Offering” consist of (i) 12,611 shares of Common Stock purchased by Kelly Gold in the Private Placement, including 6,551 shares of Common Stock purchased in the Second Closing, (ii) 61,817 shares of Common Stock previously granted to or purchased by Ms. Gold and (iii) 204,375 shares of Common Stock underlying </w:t>
      </w:r>
    </w:p>
    <w:p>
      <w:pPr>
        <w:pStyle w:val="TextBody"/>
        <w:bidi w:val="0"/>
        <w:spacing w:before="0" w:after="18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stock options exercisable within 60 days of August 3, 2026. Ms. Gold is the Chief Financial Officer of the Company. Ms. Gold’s address is c/o CAMP4 Therapeutics Corporation, 100 Talcott Avenue, Suite 201, Watertown, Massachusetts 02472.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(22)The shares reported under “Shares of Common Stock Beneficially Owned Prior to this Offering” consist of (i) 12,611 shares of Common Stock purchased by Yuri Maricich in the Private Placement, including 6,551 shares of Common Stock purchased in the Second Closing and (ii) 127,762 shares of Common Stock underlying stock options exercisable within 60 days of August 3, 2026. Dr. Maricich is the Chief Medical Officer of the Company. Dr. Maricich’s address is c/o CAMP4 Therapeutics Corporation, 100 Talcott Avenue, Suite 201, Watertown, Massachusetts 02472.</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(23)The shares reported under “Shares of Common Stock Beneficially Owned Prior to this Offering” consist of (i) 6,305 shares of Common Stock purchased by Leonard Zon in the Private Placement, including 3,275 shares of Common Stock purchased in the Second Closing, (ii) 103,513 shares of Common Stock previously granted to or purchased by Dr. Zon and (iii) 61,065 shares of Common Stock underlying stock options exercisable within 60 days of August 3, 2026. Dr. Zon serves as an observer of the Company’s board of directors. Dr. Zon’s address is c/o CAMP4 Therapeutics Corporation, 100 Talcott Avenue, Suite 201, Watertown, Massachusetts 02472.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PLAN OF DISTRIBUTION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selling stockholders, which as used herein include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selling stockholders may use any one or more of the following methods when disposing of shares of Common Stock or interests therein: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distributions to members, partners, stockholders or other equityholders of the selling stockholders;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ordinary brokerage transactions and transactions in which the broker-dealer solicits purchasers;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block trades in which the broker-dealer will attempt to sell the shares as agent, but may position and resell a portion of the block as principal to facilitate the transaction;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purchases by a broker-dealer as principal and resale by the broker-dealer for its account;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 exchange distribution in accordance with the rules of the applicable exchange;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privately negotiated transactions;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short sales and settlement of short sales entered into after the effective date of the registration statement of which this prospectus is a part;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through the writing or settlement of options or other hedging transactions, whether through an options exchange or otherwise;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broker-dealers may agree with the selling stockholders to sell a specified number of such shares at a stipulated price per share;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 combination of any such methods of sale;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any other method permitted pursuant to applicable law.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stockholders for purposes of this prospectus. 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w:t>
      </w:r>
    </w:p>
    <w:p>
      <w:pPr>
        <w:pStyle w:val="TextBody"/>
        <w:bidi w:val="0"/>
        <w:spacing w:before="0" w:after="18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2026 Pre-Funded Warrants by payment of cash, however, we will receive the exercise price of the 2026 Pre-Funded Warrants.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selling stockholders also may resell all or a portion of the shares of Common Stock owned by them in open market transactions in reliance upon Rule 144 under the Securities Act, provided that they meet the criteria and conform to the requirements of that rule, or another available exemption from the registration requirements under the Securities Act.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selling stockholders and any underwriters, broker-dealers or agents that participate in the sale of shares of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covered by this prospectus may be underwriting discounts and commissions under the Securities Act. Selling stockholders who are “underwriters” within the meaning of Section 2(a)(11) of the Securities Act will be subject to the prospectus delivery requirements of the Securities Act.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have advised the selling stockholders that the anti-manipulation rules of Regulation M under the Securities Exchange Act of 1934 (the “Exchange Act”) may apply to sales of shares covered by this prospectus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have agreed to indemnify the selling stockholders against liabilities, including liabilities under the Securities Act and state securities laws, relating to the registration of the shares offered by this prospectus.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have agreed with the selling stockholders to use commercially reasonable efforts to cause the registration statement of which this prospectus constitutes a part to become effective and to remain continuously effective until the earlier of: (i) the date on which the selling stockholders shall have resold or otherwise disposed of all the shares covered by this prospectus and (ii) the date on which the shares covered by this prospectus no longer constitute “Registrable Securities” as such term is defined in the Registration Rights Agreement, such that they may be resold by the selling stockholders without registration and without regard to any volume or manner-of-sale limitations and without current public information pursuant to Rule 144 under the Securities Act or any other rule of similar effect.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validity of the issuance of the securities offered hereby will be passed upon for us by Ropes &amp; Gray LLP, Boston, Massachusetts.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EXPERTS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of CAMP4 Therapeutics Corporation appearing in CAMP4 Therapeutics Corporation’s Annual Report (Form 10-K) for the year ended December 31, 2025,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WHERE YOU CAN FIND MORE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is part of a registration statement we filed with the SEC. This prospectus does not contain all of the information set forth in the registration statement and the exhibits to the registration statement. For further information with respect to us and the shares of Common Stock being offered under this prospectus, we refer you to the registration statement and the exhibits and schedules filed as a part of the registration statement. Neither we nor any agent, underwriter or dealer has authorized any person to provide you with different information. We are not making an offer of Common Stock in any state where the offer is not permitted. You should not assume that the information in this prospectus is accurate as of any date other than the date on the front page of this prospectus, regardless of the time of delivery of this prospectus or any sale of Common Stock offered by this prospectus.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file annual, quarterly and current reports, proxy statements and other information with the SEC. The SEC maintains a website that contains reports, proxy statements and other information regarding issuers that file electronically with the SEC, including us. The address of the SEC website is www.sec.gov.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a website at www.camp4tx.com. Information contained in, or accessible through, our website is not a part of, and is not incorporated into, this prospectus, and you should not consider it part of this prospectus.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INCORPORATION OF DOCUMENTS BY REFERENCE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SEC allows us to “incorporate by reference” into this prospectus the information we file with it, which means that we can disclose important information to you by referring you to those documents. The information incorporated by reference is considered to be part of this prospectus, and information in documents that we file later with the SEC will automatically update and supersede information in this prospectus. We incorporate by reference into this prospectus the documents listed below and any future filings, including all filings made after the date of the filing of this prospectus, made by us with the SEC under Section 13(a), 13(c), 14 or 15(d) of the Exchange Act, except for information “furnished” under Items 2.02, 7.01 or 9.01 on Form 8-K or other information “furnished” to the SEC which is not deemed filed and not incorporated in this prospectus, until the termination of the offering of securities described in the applicable prospectus supplement. We hereby incorporate by reference the following documents: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Annual Report on </w:t>
      </w:r>
      <w:hyperlink r:id="rId3">
        <w:r>
          <w:rPr>
            <w:rStyle w:val="InternetLink"/>
            <w:rFonts w:ascii="Times New Roman;serif" w:hAnsi="Times New Roman;serif"/>
            <w:b w:val="false"/>
            <w:color w:val="0000FF"/>
            <w:sz w:val="20"/>
            <w:u w:val="single"/>
          </w:rPr>
          <w:t>Form 10-K</w:t>
        </w:r>
      </w:hyperlink>
      <w:r>
        <w:rPr>
          <w:color w:val="000000"/>
        </w:rPr>
        <w:t xml:space="preserve"> </w:t>
      </w:r>
      <w:r>
        <w:rPr>
          <w:rFonts w:ascii="Times New Roman;serif" w:hAnsi="Times New Roman;serif"/>
          <w:b w:val="false"/>
          <w:color w:val="000000"/>
          <w:sz w:val="20"/>
        </w:rPr>
        <w:t>for the year ended December 31, 2025, as filed with the SEC on March 5, 2026;</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Quarterly Report on </w:t>
      </w:r>
      <w:hyperlink r:id="rId4">
        <w:r>
          <w:rPr>
            <w:rStyle w:val="InternetLink"/>
            <w:rFonts w:ascii="Times New Roman;serif" w:hAnsi="Times New Roman;serif"/>
            <w:b w:val="false"/>
            <w:color w:val="0000FF"/>
            <w:sz w:val="20"/>
            <w:u w:val="single"/>
          </w:rPr>
          <w:t>Form 10-Q</w:t>
        </w:r>
      </w:hyperlink>
      <w:r>
        <w:rPr>
          <w:color w:val="000000"/>
        </w:rPr>
        <w:t xml:space="preserve"> </w:t>
      </w:r>
      <w:r>
        <w:rPr>
          <w:rFonts w:ascii="Times New Roman;serif" w:hAnsi="Times New Roman;serif"/>
          <w:b w:val="false"/>
          <w:color w:val="000000"/>
          <w:sz w:val="20"/>
        </w:rPr>
        <w:t>for the quarter ended March 31, 2026, as filed with the SEC on May 7, 2026;</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Current Reports on Form 8-K as filed with the SEC on </w:t>
      </w:r>
      <w:hyperlink r:id="rId5">
        <w:r>
          <w:rPr>
            <w:rStyle w:val="InternetLink"/>
            <w:rFonts w:ascii="Times New Roman;serif" w:hAnsi="Times New Roman;serif"/>
            <w:b w:val="false"/>
            <w:color w:val="0000FF"/>
            <w:sz w:val="20"/>
            <w:u w:val="single"/>
          </w:rPr>
          <w:t>March 24, 2026</w:t>
        </w:r>
      </w:hyperlink>
      <w:r>
        <w:rPr>
          <w:rFonts w:ascii="Times New Roman;serif" w:hAnsi="Times New Roman;serif"/>
          <w:b w:val="false"/>
          <w:color w:val="000000"/>
          <w:sz w:val="20"/>
        </w:rPr>
        <w:t xml:space="preserve">, </w:t>
      </w:r>
      <w:hyperlink r:id="rId6">
        <w:r>
          <w:rPr>
            <w:rStyle w:val="InternetLink"/>
            <w:rFonts w:ascii="Times New Roman;serif" w:hAnsi="Times New Roman;serif"/>
            <w:b w:val="false"/>
            <w:color w:val="0000FF"/>
            <w:sz w:val="20"/>
            <w:u w:val="single"/>
          </w:rPr>
          <w:t>June 12, 2026</w:t>
        </w:r>
      </w:hyperlink>
      <w:r>
        <w:rPr>
          <w:rFonts w:ascii="Times New Roman;serif" w:hAnsi="Times New Roman;serif"/>
          <w:b w:val="false"/>
          <w:color w:val="000000"/>
          <w:sz w:val="20"/>
        </w:rPr>
        <w:t xml:space="preserve">, </w:t>
      </w:r>
      <w:hyperlink r:id="rId7">
        <w:r>
          <w:rPr>
            <w:rStyle w:val="InternetLink"/>
            <w:rFonts w:ascii="Times New Roman;serif" w:hAnsi="Times New Roman;serif"/>
            <w:b w:val="false"/>
            <w:color w:val="0000FF"/>
            <w:sz w:val="20"/>
            <w:u w:val="single"/>
          </w:rPr>
          <w:t>July 27, 2026</w:t>
        </w:r>
      </w:hyperlink>
      <w:r>
        <w:rPr>
          <w:color w:val="000000"/>
        </w:rPr>
        <w:t xml:space="preserve"> </w:t>
      </w:r>
      <w:r>
        <w:rPr>
          <w:rFonts w:ascii="Times New Roman;serif" w:hAnsi="Times New Roman;serif"/>
          <w:b w:val="false"/>
          <w:color w:val="000000"/>
          <w:sz w:val="20"/>
        </w:rPr>
        <w:t xml:space="preserve">and </w:t>
      </w:r>
      <w:hyperlink r:id="rId8">
        <w:r>
          <w:rPr>
            <w:rStyle w:val="InternetLink"/>
          </w:rPr>
          <w:t>Augus</w:t>
        </w:r>
      </w:hyperlink>
      <w:hyperlink r:id="rId9">
        <w:r>
          <w:rPr>
            <w:rStyle w:val="InternetLink"/>
          </w:rPr>
          <w:t>t 4, 2026</w:t>
        </w:r>
      </w:hyperlink>
      <w:r>
        <w:rPr>
          <w:rFonts w:ascii="Times New Roman;serif" w:hAnsi="Times New Roman;serif"/>
          <w:b w:val="false"/>
          <w:color w:val="000000"/>
          <w:sz w:val="20"/>
        </w:rPr>
        <w:t xml:space="preserv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information specifically incorporated by reference into our Annual Report on Form 10-K for the year ended December 31, 2025 from our Definitive Proxy Statement on </w:t>
      </w:r>
      <w:hyperlink r:id="rId10">
        <w:r>
          <w:rPr>
            <w:rStyle w:val="InternetLink"/>
            <w:rFonts w:ascii="Times New Roman;serif" w:hAnsi="Times New Roman;serif"/>
            <w:b w:val="false"/>
            <w:color w:val="0000FF"/>
            <w:sz w:val="20"/>
            <w:u w:val="single"/>
          </w:rPr>
          <w:t>Schedule 14A</w:t>
        </w:r>
      </w:hyperlink>
      <w:r>
        <w:rPr>
          <w:color w:val="000000"/>
        </w:rPr>
        <w:t xml:space="preserve"> </w:t>
      </w:r>
      <w:r>
        <w:rPr>
          <w:rFonts w:ascii="Times New Roman;serif" w:hAnsi="Times New Roman;serif"/>
          <w:b w:val="false"/>
          <w:color w:val="000000"/>
          <w:sz w:val="20"/>
        </w:rPr>
        <w:t xml:space="preserve">for the 2026 Annual Meeting of Stockholders, as filed with the SEC on April 23, 2026;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description of our Common Stock, which is contained in the Registration Statement on </w:t>
      </w:r>
      <w:hyperlink r:id="rId11">
        <w:r>
          <w:rPr>
            <w:rStyle w:val="InternetLink"/>
            <w:rFonts w:ascii="Times New Roman;serif" w:hAnsi="Times New Roman;serif"/>
            <w:b w:val="false"/>
            <w:color w:val="0000FF"/>
            <w:sz w:val="20"/>
            <w:u w:val="single"/>
          </w:rPr>
          <w:t>Form 8-A</w:t>
        </w:r>
      </w:hyperlink>
      <w:r>
        <w:rPr>
          <w:rFonts w:ascii="Times New Roman;serif" w:hAnsi="Times New Roman;serif"/>
          <w:b w:val="false"/>
          <w:color w:val="000000"/>
          <w:sz w:val="20"/>
        </w:rPr>
        <w:t xml:space="preserve">, as filed with the SEC on October 8, 2024, as supplemented by the description of our Common Stock and preferred stock contained in </w:t>
      </w:r>
      <w:hyperlink r:id="rId12">
        <w:r>
          <w:rPr>
            <w:rStyle w:val="InternetLink"/>
            <w:rFonts w:ascii="Times New Roman;serif" w:hAnsi="Times New Roman;serif"/>
            <w:b w:val="false"/>
            <w:color w:val="0000FF"/>
            <w:sz w:val="20"/>
            <w:u w:val="single"/>
          </w:rPr>
          <w:t>Exhibit 4.1</w:t>
        </w:r>
      </w:hyperlink>
      <w:r>
        <w:rPr>
          <w:color w:val="000000"/>
        </w:rPr>
        <w:t xml:space="preserve"> </w:t>
      </w:r>
      <w:r>
        <w:rPr>
          <w:rFonts w:ascii="Times New Roman;serif" w:hAnsi="Times New Roman;serif"/>
          <w:b w:val="false"/>
          <w:color w:val="000000"/>
          <w:sz w:val="20"/>
        </w:rPr>
        <w:t xml:space="preserve">to our Annual Report on Form 10-K for the fiscal year ended December 31, 2025, filed with the SEC on March 5, 2026.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Any statement contained in a document incorporated or deemed to be incorporated by reference in this prospectus will be deemed modified, superseded or replaced for purposes of this prospectus to the extent that a statement contained in this prospectus modifies, supersedes or replaces such statement.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You may request a copy of these filings, at no cost, by writing or telephoning us at the following address: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CAMP4 Therapeutics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 Talcott Avenue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Suite 201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Watertown, Massachusetts 02472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(617) 651-8867</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Attention: Corporate Secretary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Copies of these filings are also available, without charge, on the SEC’s website at www.sec.gov and on our website at www.camp4tx.com as soon as reasonably practicable after they are filed electronically with the SEC. The information contained on our website is not a part of this prospectus.</w:t>
      </w:r>
    </w:p>
    <w:p>
      <w:pPr>
        <w:pStyle w:val="TextBody"/>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736730/000173673026000016/camp-20251231.htm" TargetMode="External"/><Relationship Id="rId4" Type="http://schemas.openxmlformats.org/officeDocument/2006/relationships/hyperlink" Target="https://www.sec.gov/ix?doc=/Archives/edgar/data/1736730/000162828026032146/camp-20260331.htm" TargetMode="External"/><Relationship Id="rId5" Type="http://schemas.openxmlformats.org/officeDocument/2006/relationships/hyperlink" Target="https://www.sec.gov/ix?doc=/Archives/edgar/data/1736730/000173673026000021/camp-20260318.htm" TargetMode="External"/><Relationship Id="rId6" Type="http://schemas.openxmlformats.org/officeDocument/2006/relationships/hyperlink" Target="https://www.sec.gov/ix?doc=/Archives/edgar/data/1736730/000162828026042846/camp-20260610.htm" TargetMode="External"/><Relationship Id="rId7" Type="http://schemas.openxmlformats.org/officeDocument/2006/relationships/hyperlink" Target="https://www.sec.gov/ix?doc=/Archives/edgar/data/1736730/000162828026049661/camp-20260727.htm" TargetMode="External"/><Relationship Id="rId8" Type="http://schemas.openxmlformats.org/officeDocument/2006/relationships/hyperlink" Target="https://www.sec.gov/ix?doc=/Archives/edgar/data/1736730/000162828026052150/camp-20260803.htm" TargetMode="External"/><Relationship Id="rId9" Type="http://schemas.openxmlformats.org/officeDocument/2006/relationships/hyperlink" Target="https://www.sec.gov/ix?doc=/Archives/edgar/data/1736730/000162828026052150/camp-20260803.htm" TargetMode="External"/><Relationship Id="rId10" Type="http://schemas.openxmlformats.org/officeDocument/2006/relationships/hyperlink" Target="https://www.sec.gov/ix?doc=/Archives/edgar/data/1736730/000173673026000026/camp-20260422.htm" TargetMode="External"/><Relationship Id="rId11" Type="http://schemas.openxmlformats.org/officeDocument/2006/relationships/hyperlink" Target="https://www.sec.gov/Archives/edgar/data/1736730/000110465924107031/tm2415452d21_8a12b.htm" TargetMode="External"/><Relationship Id="rId12" Type="http://schemas.openxmlformats.org/officeDocument/2006/relationships/hyperlink" Target="https://www.sec.gov/Archives/edgar/data/1736730/000173673026000016/exhibit41-descriptionofreg.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11225</Words>
  <Characters>61460</Characters>
  <CharactersWithSpaces>72518</CharactersWithSpaces>
  <Paragraphs>323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