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3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7"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4" w:lineRule="exact"/>
        <w:rPr>
          <w:rFonts w:ascii="MS PGothic" w:cs="MS PGothic" w:eastAsia="MS PGothic" w:hAnsi="MS PGothic"/>
          <w:sz w:val="16"/>
          <w:szCs w:val="16"/>
          <w:color w:val="auto"/>
          <w:highlight w:val="black"/>
        </w:rPr>
      </w:pPr>
    </w:p>
    <w:p>
      <w:pPr>
        <w:ind w:left="42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quarterly period ended March 31, 2026</w:t>
      </w:r>
    </w:p>
    <w:p>
      <w:pPr>
        <w:spacing w:after="0" w:line="123" w:lineRule="exact"/>
        <w:rPr>
          <w:sz w:val="24"/>
          <w:szCs w:val="24"/>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9"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4" w:lineRule="exact"/>
        <w:rPr>
          <w:rFonts w:ascii="MS PGothic" w:cs="MS PGothic" w:eastAsia="MS PGothic" w:hAnsi="MS PGothic"/>
          <w:sz w:val="16"/>
          <w:szCs w:val="16"/>
          <w:color w:val="auto"/>
          <w:highlight w:val="black"/>
        </w:rPr>
      </w:pPr>
    </w:p>
    <w:p>
      <w:pPr>
        <w:ind w:left="38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transition period from ___________ to___________</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001-42365</w:t>
      </w:r>
    </w:p>
    <w:p>
      <w:pPr>
        <w:spacing w:after="0" w:line="2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149225</wp:posOffset>
            </wp:positionV>
            <wp:extent cx="2040255" cy="779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255"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CAMP4 Therapeutics Corporation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156"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81-1152476</w:t>
      </w:r>
    </w:p>
    <w:p>
      <w:pPr>
        <w:spacing w:after="0" w:line="69" w:lineRule="exact"/>
        <w:rPr>
          <w:sz w:val="24"/>
          <w:szCs w:val="24"/>
          <w:color w:val="auto"/>
        </w:rPr>
      </w:pPr>
    </w:p>
    <w:p>
      <w:pPr>
        <w:sectPr>
          <w:pgSz w:w="11900" w:h="16838" w:orient="portrait"/>
          <w:cols w:equalWidth="0" w:num="2">
            <w:col w:w="7720" w:space="720"/>
            <w:col w:w="2800"/>
          </w:cols>
          <w:pgMar w:left="320" w:top="229"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7360" w:space="720"/>
            <w:col w:w="3160"/>
          </w:cols>
          <w:pgMar w:left="320" w:top="229" w:right="339" w:bottom="1440" w:gutter="0" w:footer="0" w:header="0"/>
          <w:type w:val="continuous"/>
        </w:sectPr>
      </w:pP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One Kendall Square</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Building 1400 West, 3</w:t>
      </w:r>
      <w:r>
        <w:rPr>
          <w:rFonts w:ascii="Times New Roman" w:cs="Times New Roman" w:eastAsia="Times New Roman" w:hAnsi="Times New Roman"/>
          <w:sz w:val="9"/>
          <w:szCs w:val="9"/>
          <w:b w:val="1"/>
          <w:bCs w:val="1"/>
          <w:color w:val="auto"/>
        </w:rPr>
        <w:t>rd</w:t>
      </w:r>
      <w:r>
        <w:rPr>
          <w:rFonts w:ascii="Times New Roman" w:cs="Times New Roman" w:eastAsia="Times New Roman" w:hAnsi="Times New Roman"/>
          <w:sz w:val="14"/>
          <w:szCs w:val="14"/>
          <w:b w:val="1"/>
          <w:bCs w:val="1"/>
          <w:color w:val="auto"/>
        </w:rPr>
        <w:t xml:space="preserve"> Floor</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Cambridge, Massachusetts 02139</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240"/>
          </w:cols>
          <w:pgMar w:left="320" w:top="229" w:right="339" w:bottom="1440" w:gutter="0" w:footer="0" w:header="0"/>
          <w:type w:val="continuous"/>
        </w:sectPr>
      </w:pPr>
    </w:p>
    <w:p>
      <w:pPr>
        <w:spacing w:after="0" w:line="108" w:lineRule="exact"/>
        <w:rPr>
          <w:sz w:val="24"/>
          <w:szCs w:val="24"/>
          <w:color w:val="auto"/>
        </w:rPr>
      </w:pPr>
    </w:p>
    <w:p>
      <w:pPr>
        <w:ind w:left="5520" w:hanging="346"/>
        <w:spacing w:after="0"/>
        <w:tabs>
          <w:tab w:leader="none" w:pos="55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651-8867</w:t>
      </w:r>
    </w:p>
    <w:p>
      <w:pPr>
        <w:spacing w:after="0" w:line="29" w:lineRule="exact"/>
        <w:rPr>
          <w:rFonts w:ascii="Times New Roman" w:cs="Times New Roman" w:eastAsia="Times New Roman" w:hAnsi="Times New Roman"/>
          <w:sz w:val="14"/>
          <w:szCs w:val="14"/>
          <w:b w:val="1"/>
          <w:bCs w:val="1"/>
          <w:color w:val="auto"/>
        </w:rPr>
      </w:pPr>
    </w:p>
    <w:p>
      <w:pPr>
        <w:ind w:left="46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(Registrant’s telephone number)</w:t>
      </w:r>
    </w:p>
    <w:p>
      <w:pPr>
        <w:spacing w:after="0" w:line="13"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93" w:lineRule="exact"/>
        <w:rPr>
          <w:sz w:val="24"/>
          <w:szCs w:val="24"/>
          <w:color w:val="auto"/>
        </w:rPr>
      </w:pPr>
    </w:p>
    <w:p>
      <w:pPr>
        <w:ind w:right="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58"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ectPr>
          <w:pgSz w:w="11900" w:h="16838" w:orient="portrait"/>
          <w:cols w:equalWidth="0" w:num="4">
            <w:col w:w="1840" w:space="720"/>
            <w:col w:w="320" w:space="720"/>
            <w:col w:w="2140" w:space="720"/>
            <w:col w:w="4780"/>
          </w:cols>
          <w:pgMar w:left="320" w:top="229" w:right="33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60" w:lineRule="exact"/>
        <w:rPr>
          <w:sz w:val="24"/>
          <w:szCs w:val="24"/>
          <w:color w:val="auto"/>
        </w:rPr>
      </w:pPr>
    </w:p>
    <w:p>
      <w:pPr>
        <w:sectPr>
          <w:pgSz w:w="11900" w:h="16838" w:orient="portrait"/>
          <w:cols w:equalWidth="0" w:num="6">
            <w:col w:w="1840" w:space="720"/>
            <w:col w:w="320" w:space="720"/>
            <w:col w:w="2140" w:space="720"/>
            <w:col w:w="320" w:space="720"/>
            <w:col w:w="2620" w:space="720"/>
            <w:col w:w="400"/>
          </w:cols>
          <w:pgMar w:left="320" w:top="229" w:right="339" w:bottom="1440" w:gutter="0" w:footer="0" w:header="0"/>
          <w:type w:val="continuous"/>
        </w:sectPr>
      </w:pPr>
    </w:p>
    <w:p>
      <w:pPr>
        <w:spacing w:after="0" w:line="44"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tabs>
          <w:tab w:leader="none" w:pos="71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CAMP</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Market</w:t>
            </w:r>
          </w:p>
        </w:tc>
      </w:tr>
    </w:tbl>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6, 2026, there were 51,925,800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7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6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720" w:type="dxa"/>
            <w:vAlign w:val="bottom"/>
            <w:gridSpan w:val="7"/>
            <w:vMerge w:val="continue"/>
          </w:tcPr>
          <w:p>
            <w:pPr>
              <w:spacing w:after="0"/>
              <w:rPr>
                <w:sz w:val="24"/>
                <w:szCs w:val="24"/>
                <w:color w:val="auto"/>
              </w:rPr>
            </w:pPr>
          </w:p>
        </w:tc>
        <w:tc>
          <w:tcPr>
            <w:tcW w:w="8600" w:type="dxa"/>
            <w:vAlign w:val="bottom"/>
            <w:gridSpan w:val="19"/>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200" w:type="dxa"/>
            <w:vAlign w:val="bottom"/>
            <w:gridSpan w:val="5"/>
          </w:tcPr>
          <w:p>
            <w:pPr>
              <w:spacing w:after="0"/>
              <w:rPr>
                <w:sz w:val="24"/>
                <w:szCs w:val="24"/>
                <w:color w:val="auto"/>
              </w:rPr>
            </w:pPr>
          </w:p>
        </w:tc>
        <w:tc>
          <w:tcPr>
            <w:tcW w:w="2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18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 as of March 31, 2026 and December 31, 2025</w:t>
            </w:r>
          </w:p>
        </w:tc>
        <w:tc>
          <w:tcPr>
            <w:tcW w:w="152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Loss for the 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80" w:type="dxa"/>
            <w:vAlign w:val="bottom"/>
            <w:tcBorders>
              <w:bottom w:val="single" w:sz="8" w:color="0E32E1"/>
            </w:tcBorders>
            <w:gridSpan w:val="9"/>
          </w:tcPr>
          <w:p>
            <w:pPr>
              <w:spacing w:after="0" w:line="196" w:lineRule="exact"/>
              <w:rPr>
                <w:sz w:val="20"/>
                <w:szCs w:val="20"/>
                <w:color w:val="auto"/>
              </w:rPr>
            </w:pPr>
            <w:r>
              <w:rPr>
                <w:rFonts w:ascii="Times New Roman" w:cs="Times New Roman" w:eastAsia="Times New Roman" w:hAnsi="Times New Roman"/>
                <w:sz w:val="18"/>
                <w:szCs w:val="18"/>
                <w:color w:val="0E32E1"/>
              </w:rPr>
              <w:t>March 31, 2026 and 2025</w:t>
            </w:r>
          </w:p>
        </w:tc>
        <w:tc>
          <w:tcPr>
            <w:tcW w:w="6720" w:type="dxa"/>
            <w:vAlign w:val="bottom"/>
            <w:gridSpan w:val="10"/>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for the three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8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E32E1"/>
              </w:rPr>
              <w:t>March 3</w:t>
            </w:r>
            <w:r>
              <w:rPr>
                <w:rFonts w:ascii="Times New Roman" w:cs="Times New Roman" w:eastAsia="Times New Roman" w:hAnsi="Times New Roman"/>
                <w:sz w:val="18"/>
                <w:szCs w:val="18"/>
                <w:color w:val="0000FF"/>
              </w:rPr>
              <w:t>1, 2026 and 2025</w:t>
            </w: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8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Cash Flows for the three months ended March 31, 2026 and 2025</w:t>
            </w:r>
          </w:p>
        </w:tc>
        <w:tc>
          <w:tcPr>
            <w:tcW w:w="22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6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0" w:type="dxa"/>
            <w:vAlign w:val="bottom"/>
            <w:gridSpan w:val="5"/>
          </w:tcPr>
          <w:p>
            <w:pPr>
              <w:spacing w:after="0"/>
              <w:rPr>
                <w:sz w:val="24"/>
                <w:szCs w:val="24"/>
                <w:color w:val="auto"/>
              </w:rPr>
            </w:pP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4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0" w:type="dxa"/>
            <w:vAlign w:val="bottom"/>
            <w:gridSpan w:val="5"/>
          </w:tcPr>
          <w:p>
            <w:pPr>
              <w:spacing w:after="0"/>
              <w:rPr>
                <w:sz w:val="24"/>
                <w:szCs w:val="24"/>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200" w:type="dxa"/>
            <w:vAlign w:val="bottom"/>
            <w:gridSpan w:val="5"/>
          </w:tcPr>
          <w:p>
            <w:pPr>
              <w:spacing w:after="0"/>
              <w:rPr>
                <w:sz w:val="24"/>
                <w:szCs w:val="24"/>
                <w:color w:val="auto"/>
              </w:rPr>
            </w:pPr>
          </w:p>
        </w:tc>
        <w:tc>
          <w:tcPr>
            <w:tcW w:w="43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3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1180" w:type="dxa"/>
            <w:vAlign w:val="bottom"/>
            <w:gridSpan w:val="4"/>
          </w:tcPr>
          <w:p>
            <w:pPr>
              <w:spacing w:after="0"/>
              <w:rPr>
                <w:sz w:val="24"/>
                <w:szCs w:val="24"/>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0" w:type="dxa"/>
            <w:vAlign w:val="bottom"/>
            <w:tcBorders>
              <w:top w:val="single" w:sz="8" w:color="0000FF"/>
            </w:tcBorders>
          </w:tcPr>
          <w:p>
            <w:pPr>
              <w:spacing w:after="0"/>
              <w:rPr>
                <w:sz w:val="24"/>
                <w:szCs w:val="24"/>
                <w:color w:val="auto"/>
              </w:rPr>
            </w:pPr>
          </w:p>
        </w:tc>
        <w:tc>
          <w:tcPr>
            <w:tcW w:w="1180" w:type="dxa"/>
            <w:vAlign w:val="bottom"/>
            <w:gridSpan w:val="4"/>
          </w:tcPr>
          <w:p>
            <w:pPr>
              <w:spacing w:after="0"/>
              <w:rPr>
                <w:sz w:val="24"/>
                <w:szCs w:val="24"/>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00" w:type="dxa"/>
            <w:vAlign w:val="bottom"/>
            <w:tcBorders>
              <w:top w:val="single" w:sz="8" w:color="0000FF"/>
            </w:tcBorders>
          </w:tcPr>
          <w:p>
            <w:pPr>
              <w:spacing w:after="0"/>
              <w:rPr>
                <w:sz w:val="24"/>
                <w:szCs w:val="24"/>
                <w:color w:val="auto"/>
              </w:rPr>
            </w:pPr>
          </w:p>
        </w:tc>
        <w:tc>
          <w:tcPr>
            <w:tcW w:w="7160" w:type="dxa"/>
            <w:vAlign w:val="bottom"/>
            <w:gridSpan w:val="1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24"/>
                <w:szCs w:val="24"/>
                <w:color w:val="auto"/>
              </w:rPr>
            </w:pPr>
          </w:p>
        </w:tc>
        <w:tc>
          <w:tcPr>
            <w:tcW w:w="1080" w:type="dxa"/>
            <w:vAlign w:val="bottom"/>
            <w:gridSpan w:val="3"/>
          </w:tcPr>
          <w:p>
            <w:pPr>
              <w:spacing w:after="0"/>
              <w:rPr>
                <w:sz w:val="24"/>
                <w:szCs w:val="24"/>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0" w:type="dxa"/>
            <w:vAlign w:val="bottom"/>
            <w:gridSpan w:val="5"/>
          </w:tcPr>
          <w:p>
            <w:pPr>
              <w:spacing w:after="0"/>
              <w:rPr>
                <w:sz w:val="24"/>
                <w:szCs w:val="24"/>
                <w:color w:val="auto"/>
              </w:rPr>
            </w:pP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26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200" w:type="dxa"/>
            <w:vAlign w:val="bottom"/>
            <w:gridSpan w:val="5"/>
          </w:tcPr>
          <w:p>
            <w:pPr>
              <w:spacing w:after="0"/>
              <w:rPr>
                <w:sz w:val="24"/>
                <w:szCs w:val="24"/>
                <w:color w:val="auto"/>
              </w:rPr>
            </w:pP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28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1200" w:type="dxa"/>
            <w:vAlign w:val="bottom"/>
            <w:gridSpan w:val="5"/>
          </w:tcPr>
          <w:p>
            <w:pPr>
              <w:spacing w:after="0"/>
              <w:rPr>
                <w:sz w:val="24"/>
                <w:szCs w:val="24"/>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24"/>
                <w:szCs w:val="24"/>
                <w:color w:val="auto"/>
              </w:rPr>
            </w:pPr>
          </w:p>
        </w:tc>
        <w:tc>
          <w:tcPr>
            <w:tcW w:w="6840" w:type="dxa"/>
            <w:vAlign w:val="bottom"/>
            <w:gridSpan w:val="1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00" w:type="dxa"/>
            <w:vAlign w:val="bottom"/>
            <w:gridSpan w:val="5"/>
          </w:tcPr>
          <w:p>
            <w:pPr>
              <w:spacing w:after="0"/>
              <w:rPr>
                <w:sz w:val="24"/>
                <w:szCs w:val="24"/>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0" w:type="dxa"/>
            <w:vAlign w:val="bottom"/>
            <w:gridSpan w:val="12"/>
          </w:tcPr>
          <w:p>
            <w:pPr>
              <w:ind w:left="38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that involve substantial risks and uncertainties because they relate to events and depend on circumstances that may or may not occur in the future. All statements other than statements of historical fact contained in this Quarterly Report, including statements regarding our strategy, future operations, future financial position, prospects, plans, objectives of management and expected growth, are forward-looking statements. These statements are based on our current beliefs, expectations and assumptions regarding our intentions, beliefs or current expectations concerning, among other things, the future of our business, future plans and strategies, our operational results and other future conditions.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although not all forward-looking statements contain these identifying words. These forward-looking statements include, without limitation, statements about the following:</w:t>
      </w:r>
    </w:p>
    <w:p>
      <w:pPr>
        <w:spacing w:after="0" w:line="180" w:lineRule="exact"/>
        <w:rPr>
          <w:sz w:val="20"/>
          <w:szCs w:val="20"/>
          <w:color w:val="auto"/>
        </w:rPr>
      </w:pPr>
    </w:p>
    <w:p>
      <w:pPr>
        <w:jc w:val="both"/>
        <w:ind w:left="98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costs of our research and development (“R&amp;D”) programs and of our current and future preclinical studies and clinical trials of our product candidates, including statements regarding the timing of initiation and completion of studies or trials and related preparatory work, as well as the period during which the results of the trials are expected to become available;</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regulatory submissions, initiation of planned clinical trials and timing of expected clinical results for our current and future product candidates;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submissions of filings for regulatory approval of, and our ability to obtain and maintain regulatory approvals for, any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the benefits of regulatory designations, including orphan drug designation,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manufacturing partners to comply with significant regulations with respect to manufacturing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any product candidate;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RAP Platform to identify and develop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strategic collaborations or arrangements, including potential business development opportunities and potential licensing partnerships, and our ability to attract collaborators with development, regulatory and commercialization expertise;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and needs for additional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international trade policies and general economic, industry, geopolitical and market conditions, such as uncertainties related to military conflict or war, tariffs (including tariffs that have been or may in the future be imposed by the United States or other countries), sanctions, trade protection measures or other trade barriers, inflation and financial institution instability or pandemic or epidemic disease outbreaks, many of which are beyond our control, as well as the value of our common stock and our ability to access capital markets; and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and smaller reporting company under the Jumpstart Our Business Startups Act of 2012 (the “JOBS Act”).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those results or developments may not be indicative of results or developments in subsequent periods.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Any forward-looking statement that we make in this Quarterly Report speaks only as of the date of such statement. 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 Comparisons of results for current and any prior periods are not intended to express any future trends or indications of future performance, unless specifically expressed as such, and should only be viewed as historical data. You should, therefore, not rely on these forward-looking statements as representing our views as of any date subsequent to the date of this Quarterly Report.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market and industry data contained in this Quarterly Report, including potential market opportunities, is based on our management’s estimates and research, as well as industry and general publications and research and studies conducted by third parties. Although we believe that the information from these third-party publications, research and studies included in this Quarterly Report is reliable, and we are responsible for the accuracy of such information, we have not independently verified the accuracy or completeness of this information. Management’s estimates are derived from publicly available information, their knowledge of our industry and their assumptions based on such information and knowledge, which we believe to be reasonable. This data involves a number of assumptions and limitations and the industry in which we operate is subject to a high degree of uncertainty and risk due to a variety of factors, including those described in Part II, Item 1A. “Risk Factors” in this Quarterly Report.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“CAMP4,” “RAP Platform,” and our other registered or common law trademarks, trade names or service marks appearing in this Quarterly Report are the property of CAMP4 Therapeutics Corporation and are registered as trademarks in the United States and other countries. This Quarterly Report also contains references to trademarks belonging to other entities. Solely for convenience, trademarks and trade names referred to in this Quarterly Report,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44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99,209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109,517</w:t>
            </w:r>
          </w:p>
        </w:tc>
        <w:tc>
          <w:tcPr>
            <w:tcW w:w="0" w:type="dxa"/>
            <w:vAlign w:val="bottom"/>
          </w:tcPr>
          <w:p>
            <w:pPr>
              <w:spacing w:after="0"/>
              <w:rPr>
                <w:sz w:val="1"/>
                <w:szCs w:val="1"/>
                <w:color w:val="auto"/>
              </w:rPr>
            </w:pPr>
          </w:p>
        </w:tc>
      </w:tr>
      <w:tr>
        <w:trPr>
          <w:trHeight w:val="25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 current portion</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114,095</w:t>
            </w:r>
          </w:p>
        </w:tc>
        <w:tc>
          <w:tcPr>
            <w:tcW w:w="0" w:type="dxa"/>
            <w:vAlign w:val="bottom"/>
          </w:tcPr>
          <w:p>
            <w:pPr>
              <w:spacing w:after="0"/>
              <w:rPr>
                <w:sz w:val="1"/>
                <w:szCs w:val="1"/>
                <w:color w:val="auto"/>
              </w:rPr>
            </w:pP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0" w:type="dxa"/>
            <w:vAlign w:val="bottom"/>
          </w:tcPr>
          <w:p>
            <w:pPr>
              <w:spacing w:after="0"/>
              <w:rPr>
                <w:sz w:val="1"/>
                <w:szCs w:val="1"/>
                <w:color w:val="auto"/>
              </w:rPr>
            </w:pPr>
          </w:p>
        </w:tc>
      </w:tr>
      <w:tr>
        <w:trPr>
          <w:trHeight w:val="25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4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43"/>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105,457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117,808</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3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0" w:type="dxa"/>
            <w:vAlign w:val="bottom"/>
          </w:tcPr>
          <w:p>
            <w:pPr>
              <w:spacing w:after="0"/>
              <w:rPr>
                <w:sz w:val="1"/>
                <w:szCs w:val="1"/>
                <w:color w:val="auto"/>
              </w:rPr>
            </w:pPr>
          </w:p>
        </w:tc>
      </w:tr>
      <w:tr>
        <w:trPr>
          <w:trHeight w:val="25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9,387</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43"/>
        </w:trPr>
        <w:tc>
          <w:tcPr>
            <w:tcW w:w="7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15,514</w:t>
            </w:r>
          </w:p>
        </w:tc>
        <w:tc>
          <w:tcPr>
            <w:tcW w:w="0" w:type="dxa"/>
            <w:vAlign w:val="bottom"/>
          </w:tcPr>
          <w:p>
            <w:pPr>
              <w:spacing w:after="0"/>
              <w:rPr>
                <w:sz w:val="1"/>
                <w:szCs w:val="1"/>
                <w:color w:val="auto"/>
              </w:rPr>
            </w:pP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w:t>
            </w:r>
          </w:p>
        </w:tc>
        <w:tc>
          <w:tcPr>
            <w:tcW w:w="0" w:type="dxa"/>
            <w:vAlign w:val="bottom"/>
          </w:tcPr>
          <w:p>
            <w:pPr>
              <w:spacing w:after="0"/>
              <w:rPr>
                <w:sz w:val="1"/>
                <w:szCs w:val="1"/>
                <w:color w:val="auto"/>
              </w:rPr>
            </w:pPr>
          </w:p>
        </w:tc>
      </w:tr>
      <w:tr>
        <w:trPr>
          <w:trHeight w:val="25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0" w:type="dxa"/>
            <w:vAlign w:val="bottom"/>
          </w:tcPr>
          <w:p>
            <w:pPr>
              <w:spacing w:after="0"/>
              <w:rPr>
                <w:sz w:val="1"/>
                <w:szCs w:val="1"/>
                <w:color w:val="auto"/>
              </w:rPr>
            </w:pP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tranche liability</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44,760</w:t>
            </w:r>
          </w:p>
        </w:tc>
        <w:tc>
          <w:tcPr>
            <w:tcW w:w="0" w:type="dxa"/>
            <w:vAlign w:val="bottom"/>
          </w:tcPr>
          <w:p>
            <w:pPr>
              <w:spacing w:after="0"/>
              <w:rPr>
                <w:sz w:val="1"/>
                <w:szCs w:val="1"/>
                <w:color w:val="auto"/>
              </w:rPr>
            </w:pPr>
          </w:p>
        </w:tc>
      </w:tr>
      <w:tr>
        <w:trPr>
          <w:trHeight w:val="24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3"/>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70,104</w:t>
            </w:r>
          </w:p>
        </w:tc>
        <w:tc>
          <w:tcPr>
            <w:tcW w:w="0" w:type="dxa"/>
            <w:vAlign w:val="bottom"/>
          </w:tcPr>
          <w:p>
            <w:pPr>
              <w:spacing w:after="0"/>
              <w:rPr>
                <w:sz w:val="1"/>
                <w:szCs w:val="1"/>
                <w:color w:val="auto"/>
              </w:rPr>
            </w:pPr>
          </w:p>
        </w:tc>
      </w:tr>
      <w:tr>
        <w:trPr>
          <w:trHeight w:val="25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4)</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 175,000,000 shares authorized as of March 31, 2026 and December 31,</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2025, 51,925,800 and 51,902,614 shares issued and outstanding as of March 31, 2026 and December 31, 2025,</w:t>
            </w: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339,854</w:t>
            </w:r>
          </w:p>
        </w:tc>
        <w:tc>
          <w:tcPr>
            <w:tcW w:w="0" w:type="dxa"/>
            <w:vAlign w:val="bottom"/>
          </w:tcPr>
          <w:p>
            <w:pPr>
              <w:spacing w:after="0"/>
              <w:rPr>
                <w:sz w:val="1"/>
                <w:szCs w:val="1"/>
                <w:color w:val="auto"/>
              </w:rPr>
            </w:pPr>
          </w:p>
        </w:tc>
      </w:tr>
      <w:tr>
        <w:trPr>
          <w:trHeight w:val="24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(310,487)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(292,156)</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47,704</w:t>
            </w:r>
          </w:p>
        </w:tc>
        <w:tc>
          <w:tcPr>
            <w:tcW w:w="0" w:type="dxa"/>
            <w:vAlign w:val="bottom"/>
          </w:tcPr>
          <w:p>
            <w:pPr>
              <w:spacing w:after="0"/>
              <w:rPr>
                <w:sz w:val="1"/>
                <w:szCs w:val="1"/>
                <w:color w:val="auto"/>
              </w:rPr>
            </w:pPr>
          </w:p>
        </w:tc>
      </w:tr>
      <w:tr>
        <w:trPr>
          <w:trHeight w:val="268"/>
        </w:trPr>
        <w:tc>
          <w:tcPr>
            <w:tcW w:w="7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117,808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3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37"/>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13,958</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43"/>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tranche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3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57,923,674</w:t>
            </w:r>
          </w:p>
        </w:tc>
        <w:tc>
          <w:tcPr>
            <w:tcW w:w="3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20,152,872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4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3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505777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57775" cy="17970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7"/>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9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51,902,614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339,854</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(292,156)</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47,704</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15,562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exercises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0" w:type="dxa"/>
            <w:vAlign w:val="bottom"/>
          </w:tcPr>
          <w:p>
            <w:pPr>
              <w:spacing w:after="0"/>
              <w:rPr>
                <w:sz w:val="16"/>
                <w:szCs w:val="16"/>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(18,331)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51,925,800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341,383</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(310,487)</w:t>
            </w:r>
          </w:p>
        </w:tc>
        <w:tc>
          <w:tcPr>
            <w:tcW w:w="10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30,902</w:t>
            </w: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9"/>
        </w:trPr>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7"/>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3"/>
        </w:trPr>
        <w:tc>
          <w:tcPr>
            <w:tcW w:w="4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49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20,145,129</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274,895</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(211,753)</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63,144</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common stock</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11,666</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0" w:type="dxa"/>
            <w:vAlign w:val="bottom"/>
          </w:tcPr>
          <w:p>
            <w:pPr>
              <w:spacing w:after="0"/>
              <w:rPr>
                <w:sz w:val="1"/>
                <w:szCs w:val="1"/>
                <w:color w:val="auto"/>
              </w:rPr>
            </w:pPr>
          </w:p>
        </w:tc>
      </w:tr>
      <w:tr>
        <w:trPr>
          <w:trHeight w:val="21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40" w:type="dxa"/>
            <w:vAlign w:val="bottom"/>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20,156,796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51,572</w:t>
            </w: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0" w:type="dxa"/>
            <w:vAlign w:val="bottom"/>
          </w:tcPr>
          <w:p>
            <w:pPr>
              <w:spacing w:after="0"/>
              <w:rPr>
                <w:sz w:val="1"/>
                <w:szCs w:val="1"/>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3"/>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fair value of derivative tranche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8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43"/>
        </w:trPr>
        <w:tc>
          <w:tcPr>
            <w:tcW w:w="8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6"/>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 and issuance of common stock under employee stock purchase plan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Principal payments on financing obligation</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6"/>
        </w:trPr>
        <w:tc>
          <w:tcPr>
            <w:tcW w:w="8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 right-of-use asset converted to fixed asset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Basis of Presentation and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in conformity with accounting principles generally accepted in the United States of America (“U.S. GAAP”) and applicable rules and regulations of the Securities and Exchange Commission for interim financial reporting, consistent in all material respects with those applied in the Company’s Annual Report on Form 10-K for the year ended December 31, 2025 (“2025 Form 10-K”) and, in the opinion of management, reflect all adjustments, which include only normal recurring adjustments, necessary to present fairly the Company’s consolidated financial position, consolidated results of operations, and consolidated cash flows for the interim periods presented. Any reference in these notes to applicable guidance is meant to refer to the authoritative standards of U.S. GAAP as found in the Accounting Standards Codification (“ASC”) and Accounting Standards Updates (“ASU”) of the Financial Accounting Standards Board (“FASB”). This report should be read in conjunction with the audited consolidated financial statements in the Company’s 2025 Form 10-K.</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include CAMP4 Therapeutics Corporation and its wholly-owned subsidiary, CAMP4 Therapeutics Pty Ltd (together, the “Company”). All intercompany balances and transactions have been eliminated in consolidation. The significant accounting policies used in the preparation of these condensed consolidated financial statements for the three months ended March 31, 2026 are consistent with those described in the Company’s 2025 Form 10-K. The results of operations for the three months ended March 31, 2026 are not necessarily indicative of the operating results to be expected for the full fiscal year or future operating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9, 2025, the Company entered into a Securities Purchase Agreement (the “Purchase Agreement”) with investors pursuant to which the Company agreed to sell certain securities, in up to two closings in a private placement transaction (the “Private Placement”). The initial closing of the Private Placement occurred on September 11, 2025 (the “Initial Closing”). At the Initial Closing, the Company issued 26,717,414 shares of the Company’s common stock and 6,003,758 pre-funded warrants for net cash proceeds of $46.7 million, after deducting $3.3 million in issuance costs and legal fees (see Notes 2 and 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18, 2025, the Company entered into an underwriting agreement (the “Underwriting Agreement”) with Leerink Partners LLC (“Leerink Partners”) relating to an offering of shares of the Company's common stock (the “Underwritten Offering”). The closing of the Underwritten Offering occurred on December 19, 2025. At the closing, the Company issued 5,000,000 shares of the Company’s common stock for net cash proceeds of $28.1 million, after deducting $1.9 million in issuance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approximately $99.2 million in cash and cash equivalents and working capital of approximately $85.6 million. The Company has a relatively limited operating history, and the revenue and income potential of the Company’s business and market are unproven. The Company has experienced net losses and negative cash flows from operations since its inception and, as of March 31, 2026, the Company had an accumulated deficit of $310.5 million. During the three months ended March 31, 2026, the Company incurred a net loss of $18.3 million and had negative cash flows from operating activities of $11.0 million. The Company will continue to incur significant costs and expenses related to its ongoing operations until it successfully develops, obtains regulatory approval for and gains market acceptance of a product candidate and achieves revenues adequate to support the Company’s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inception to March 31, 2026, the Company has funded its operations primarily with proceeds from the sale of convertible preferred stock and common stock, including the Underwritten Offering, the Initial Closing of the Private Placement, and its initial public offering (“IPO”), as well as through revenues from its license and collaboration agreements. The Company expects that its cash and cash equivalents as of March 31, 2026 will enable it to fund 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and capital expenditure requirements for at least 12 months from the date these condensed consolidated financial statements are issued. This evaluation is based on relevant conditions and events that are known and reasonably knowable at the date that the consolidated financial statements are issued. To the extent these conditions or events change, the Company could deplete its available capital resources sooner than it currently expects.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assumptions, and judgments that affect the reported amounts of assets, liabilities, expenses and related disclosures in the accompanying notes. The Company bases its estimates, assumptions, and judgments on historical experience when available and on various factors that it believes to be reasonable under the circumstances as of the date of the accompanying condensed consolidated financial statements, including revenue recognition, stock-based compensation expense, accrued expenses, research and development expenses and related prepaid and accrued expenses, derivative tranche liability, lease accounting, and the recoverability of the Company’s net deferred tax assets and related valuation allowance. In addition, other factors may affect estimates, including the expected business and operational changes, the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Actual results could differ materially from the estimates and assumptions used in the preparation of the accompanying condensed consolidated financial statements under different assumptions or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connection with its operating leases, the Company is required to maintain security deposits, which were issued in the form of letters of credit with a bank. As of March 31, 2026 and December 31, 2025, the Company held cash in this amount in a separate restricted bank account as collateral for the letters of credit. As of March 31, 2026 and December 31, 2025, the Company maintained $1.6 million and $2.2 million of restricted cash, respectively. Of the $1.6 million held as of March 31, 2026, $0.7 million is classified as short-term as the related restrictions are expected to lapse within the next 12 months.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corresponding amounts shown in the condensed consolidated statements of cash flows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0"/>
        </w:trPr>
        <w:tc>
          <w:tcPr>
            <w:tcW w:w="8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 portion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111,757</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Tranche Liability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Private Placement includes a right provided to the participating investors to purchase the Company’s securities in two tranches. The second tranche was determined to be a freestanding instrument and accounted for as derivative tranche liability within the condensed consolidated balance sheet. The derivative tranche liability was recorded at its fair value on issuance and is subsequently remeasured at the end of each reporting period, with non-cash changes in fair value recorded in the condensed consolidated statement of operations until settlement.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1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For public business entities, the guidance is effective for interim and annual periods beginning after December 15, 2026. Early adoption is permitted for annual consolidated financial statements that have not yet been issued or made available for issuance. The guidance may be applied on 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prospective basis or retrospectively for all prior periods presented in the financial statements. The Company is currently evaluating the impact that this guidance may have on its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financial asset instruments carried at fair value on a recurring basis as of March 31, 2026 and December 31, 2025 (in thousands) in accordance with the ASC 820 hierarchy.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91,832</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91,832</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4"/>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106,934</w:t>
            </w:r>
          </w:p>
        </w:tc>
        <w:tc>
          <w:tcPr>
            <w:tcW w:w="1200" w:type="dxa"/>
            <w:vAlign w:val="bottom"/>
            <w:gridSpan w:val="2"/>
            <w:shd w:val="clear" w:color="auto" w:fill="CCEEFF"/>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Tranche Liability</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derivative tranche liability (see Note 6) carried at fair value on a recurring basis as of March 31, 2026 and December 31, 2025 (in thousands) and in accordance with the ASC 820 hierarchy and was based on significant inputs not observable in the market, which represents a Level 3 measurement within the fair value hierarchy.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tranche liability</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tranche liability</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1"/>
        </w:trPr>
        <w:tc>
          <w:tcPr>
            <w:tcW w:w="50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derivative tranche liability is valued using a Monte Carlo simulation model which uses certain assumptions, including annual volatility. The range of volatilities of comparable public companies utilized was 43.5% - 125.8% as of March 31, 2026. The volatility utilized in the Monte Carlo option-pricing model was determined using the 75th percentile. The following table presents the assumptions used to determine the fair value of the derivative tranche liability as of March 31, 2026 and as of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1260" w:type="dxa"/>
            <w:vAlign w:val="bottom"/>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440" w:type="dxa"/>
            <w:vAlign w:val="bottom"/>
          </w:tcPr>
          <w:p>
            <w:pPr>
              <w:spacing w:after="0"/>
              <w:rPr>
                <w:sz w:val="16"/>
                <w:szCs w:val="16"/>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4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96.0 %</w:t>
            </w: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of achieving specified conditions</w:t>
            </w: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26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6.13</w:t>
            </w:r>
          </w:p>
        </w:tc>
      </w:tr>
    </w:tbl>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 of the derivative tranche liability categorized with Level 3 inputs for the three months ended March 31, 2026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tcPr>
          <w:p>
            <w:pPr>
              <w:spacing w:after="0"/>
              <w:rPr>
                <w:sz w:val="16"/>
                <w:szCs w:val="16"/>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 Tranche Liability</w:t>
            </w:r>
          </w:p>
        </w:tc>
      </w:tr>
      <w:tr>
        <w:trPr>
          <w:trHeight w:val="37"/>
        </w:trPr>
        <w:tc>
          <w:tcPr>
            <w:tcW w:w="93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70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44,760</w:t>
            </w:r>
          </w:p>
        </w:tc>
      </w:tr>
      <w:tr>
        <w:trPr>
          <w:trHeight w:val="243"/>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7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r>
      <w:tr>
        <w:trPr>
          <w:trHeight w:val="27"/>
        </w:trPr>
        <w:tc>
          <w:tcPr>
            <w:tcW w:w="93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50,948</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condensed consolidated balance sheet for prepaid expenses and other current assets, accounts payable and accrued expenses and other liabilities are shown at their historical values, which approximate their fair values.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Other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520" w:type="dxa"/>
            <w:vAlign w:val="bottom"/>
            <w:tcBorders>
              <w:bottom w:val="single" w:sz="8" w:color="CCEEFF"/>
            </w:tcBorders>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3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subscriptions expense</w:t>
            </w:r>
          </w:p>
        </w:tc>
        <w:tc>
          <w:tcPr>
            <w:tcW w:w="3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 costs</w:t>
            </w:r>
          </w:p>
        </w:tc>
        <w:tc>
          <w:tcPr>
            <w:tcW w:w="3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lease costs</w:t>
            </w:r>
          </w:p>
        </w:tc>
        <w:tc>
          <w:tcPr>
            <w:tcW w:w="3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w:t>
            </w:r>
          </w:p>
        </w:tc>
        <w:tc>
          <w:tcPr>
            <w:tcW w:w="3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5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5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software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r>
      <w:tr>
        <w:trPr>
          <w:trHeight w:val="26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1"/>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depreciation and amortization expense of $0.5 million and $0.4 million for the three months ended March 31, 2026 and 2025, respectively. For each of the three months ended March 31, 2026 and 2025, depreciation and amortization expense included nominal finance lease right-of-use (“ROU”) asset amortization.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R&amp;D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lease incentive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7"/>
        </w:trPr>
        <w:tc>
          <w:tcPr>
            <w:tcW w:w="8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63"/>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Cambridge and Watertown Leases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leases approximately 30,000 square feet of office and laboratory space in Cambridge, Massachusetts (the “Cambridge Lease”). The Cambridge Lease was originally set to expire on June 30, 2027.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22, 2025, the Company entered into an amendment to the Cambridge Lease, which provided for rent abatements and refunds and accelerated the termination of the lease to the date thirty days after the commencement of the Watertown Lease (as defined below). The amendment did not result in the Company relinquishing control of the leased premises until the revised termination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Concurrently, on December 22, 2025, the Company entered into a lease agreement for approximately 44,000 square feet of laboratory and office space in Watertown, Massachusetts (the “Watertown Lease”) with an affiliate of the Cambridge lessor. The Watertown Lease will commence upon delivery of the premises and availability for use (the “Watertown Lease Commencement Date”), which is contractually targeted to occur approximately 180 days following execution. The initial lease term extends through June 30, 2030.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Cambridge Lease amendment and the Watertown Lease were negotiated contemporaneously as part of a coordinated relocation transaction with affiliated lessors. Accordingly, the Company combined the arrangements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purposes under ASC 842 and determined that the combined contract contains two separate lease components: (i) the modified Cambridge Lease and (ii) the Watertown Lease. The total consideration of the combined contract, including contractual Watertown rent, the lease modification fee (as described below) and rent refunds, was allocated to each lease component based on relative standalone prices at the effective date of the modification.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modification, the Company remeasured the Cambridge Lease right-of-use asset and lease liability to zero and $1.1 million, respectively, and recorded a gain of approximately $0.3 million during the year ended December 31, 2025, reflecting the net impact of the remeasurement based on the allocated consideration. The gain was included within general and administrative expense and research and development expense in the consolidated statement of operations and comprehensive loss for the year ended December 31, 2025 as $0.1 million and $0.2 million,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relocation transaction, the Company agreed to pay a lease modification fee of approximately $2.1 million, payable in installments commencing after the Company relinquishes control of the Cambridge premises. The portion of the modification fee allocated to the Cambridge Lease was included in the remeasurement described above, and the remainder was allocated to the Watertown Lease component.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Watertown Lease had not commenced and, accordingly, no right-of-use asset or lease liability had been recognized for that lease component. The Watertown Lease includes an initial rent-free period of approximately 18 months. It also provides for the use of certain lessor-owned laboratory equipment during the lease term which will be accounted for as a lease incentive related to the Watertown Lease and will reduce the right-of-use asset upon lease commencement.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Watertown Lease includes an option to extend the lease term for an additional five-year period at market rates. The Company will determine the appropriate incremental borrowing rate and recognize the related right-of-use asset and lease liability upon commencement.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Boulder Lease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currently leases approximately 5,300 square feet of office and lab space in Boulder, Colorado (the “Boulder Lease”). The Boulder Lease is a five-year lease that commenced on September 1, 2023 and expires on September 30, 2028. As the rate implicit for the Boulder Lease was not readily determinable, the Company used its incremental borrowing rate of 7.12% as of the commencement date. At commencement of the Boulder Lease, the Company recorded $1.4 million of operating ROU assets, $0.2 million of current operating lease liabilities and $1.2 million of non-current operating lease liabilities.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vacated its Boulder, Colorado facility. The Company is currently pursuing sublease opportunities for the space. During the year ended December 31, 2025, it was determined that the market rate for similar space is less than the rate the Company is paying under the Boulder Lease. As a result, the Company recognized in the consolidated statement of operations an impairment charge of $0.5 million related to the right of use (“ROU”) asset during the year ended December 31, 2025. As of March 31, 2026, the Company had $0.4 million of ROU assets, $0.3 million of current operating lease liabilities and $0.5 million of non-current operating lease liabilities related to the Boulder Lease.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operating lease costs for the three months ended March 31, 2026 and 2025 (in thousands except for lease terms and borrowing rates):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96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420" w:type="dxa"/>
            <w:vAlign w:val="bottom"/>
          </w:tcPr>
          <w:p>
            <w:pPr>
              <w:spacing w:after="0"/>
              <w:rPr>
                <w:sz w:val="16"/>
                <w:szCs w:val="16"/>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1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expense</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lease expense</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Variable lease expense</w:t>
            </w:r>
          </w:p>
        </w:tc>
        <w:tc>
          <w:tcPr>
            <w:tcW w:w="12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200" w:type="dxa"/>
            <w:vAlign w:val="bottom"/>
            <w:tcBorders>
              <w:bottom w:val="single" w:sz="8" w:color="auto"/>
            </w:tcBorders>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2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200" w:type="dxa"/>
            <w:vAlign w:val="bottom"/>
            <w:tcBorders>
              <w:bottom w:val="single" w:sz="8" w:color="auto"/>
            </w:tcBorders>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2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2026 were as follows (in thousands):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4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(nine months remaining)</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1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6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4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matters currently outstanding for which any liabilities have been accrued or require disclosure.</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Children’s Medical Center Corporation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2018, the Company entered into a development and license agreement (the “CMCC Agreement”) with Children’s Medical Center Corporation (“CMCC”). The CMCC Agreement allows the Company to use CMCC’s proprietary intellectual property to conduct research, development and commercialization of products utilizing CMCC’s proprietary intellectual property in return for specified payments. The proprietary intellectual property licensed pursuant to this agreement is related to certain legacy programs deprioritized by the Company, which were subsequently sublicensed to Fulcrum Therapeutics, Inc. (“Fulcrum”), as described below. As part of the CMCC Agreement, the Company issued a total of 15,123 shares of common stock to CMCC and its affiliates based on the fair value of the common stock on the date of issuance.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obligated to pay potential development milestone payments under the terms of the CMCC Agreement of up to $7.7 million for the first licensed target, $3.9 million for the second licensed target and $1.9 million for the third licensed target upon the achievement of certain specified contingent events. If commercial sales of a licensed product commence, the Company will pay CMCC royalties at percentage rates ranging in the low- to mid-single digits on net sales of licensed products in countries where such product is protected by patent rights. The Company incurred de minimis royalties owed to CMCC for each of the three months ended March 31, 2026 and 2025 under the CMCC Agreement and recorded the amounts in R&amp;D expense in the consolidated statement of operations and comprehensive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re-evaluates the likelihood of achieving future milestones under the CMCC Agreement at the end of each reporting period. As of March 31, 2026, the Company determined that the likelihood of achieving future milestones under the CMCC Agreement was not probable.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Whitehead Institute for Biomedical Research</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October 2019, the Company entered into a patent license agreement (as subsequently amended, the “Whitehead Agreement”) with the Whitehead Institute for Biomedical Research (“Whitehead”). Under the Whitehead Agreement, the Company was granted a worldwide, royalty-bearing, sublicensable license under certain patent rights owned or controlled by Whitehead. Upon entering into the Whitehead Agreement, the Company paid an initial $0.1 million license issuance fee, and has paid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additional fees in connection with subsequent amendments to the Whitehead Agreement. The Company is obligated to pay annual license maintenance fees for the term of the Whitehead Agreement. In addition, the Company is obligated to pay certain filing, prosecution and maintenance fees with respect to certain patent rights licensed.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also obligated to pay potential development milestones to Whitehead of up to $1.9 million upon the achievement of certain specified contingent events. In addition, if the Company successfully commercializes a product under the Whitehead Agreement, it is obligated to pay tiered royalties at percentage rates ranging from less than one percent to the mid-single digits of net sales or of running royalties of net sales, subject to specified reductions, until either the last-to-expire valid claim of a Whitehead patent covering the product or seven years after the first commercial sale, in each case on a product-by-product and country-by-country basis.</w:t>
      </w:r>
    </w:p>
    <w:p>
      <w:pPr>
        <w:spacing w:after="0" w:line="18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incurred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fees under the Whitehead Agreement for each of the three months ended March 31, 2026 and 2025. These fees are recorded in R&amp;D expense in the Company’s condensed consolidated statements of operations and comprehensive loss.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Fulcrum Therapeutics, Inc.</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“Fulcrum Agreement”) with Fulcrum. Under the Fulcrum Agreement, the Company granted an exclusive license related to the Company’s intellectual property (“IP”) and granted a non-exclusive sublicense for IP obtained through the CMCC Agreement. In exchange for the license rights, Fulcrum paid the Company a $0.4 million upfront payment. Under the Fulcrum Agreement, the Company was eligible to receive milestone payments ranging from $0.6 million to $20.0 million upon the achievement of specified development and commercial milestones, depending on the product developed and milestone achieved. The Fulcrum Agreement also provided for potential de minimis minimum annual royalty payments as well as sales-based royalties of up to the low-double digits upon commercialization. In April 2026, Fulcrum delivered written notice to the Company to terminate the Fulcrum Agreement for convenience. In accordance with the terms of the Fulcrum Agreement, the termination will become effective following the applicable notice period. The Company does not expect to receive any future milestone or royalty payments under the Fulcrum Agreement.</w:t>
      </w:r>
    </w:p>
    <w:p>
      <w:pPr>
        <w:spacing w:after="0" w:line="17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concluded that the contract counterparty is a customer. In accordance with ASC 606, the Company determined that there is one performance obligation in the Fulcrum Agreement, consisting of the exclusive and non-exclusive license rights granted to Fulcrum. The transaction price was comprised of the fixed consideration of $0.4 million and was recognized upon transfer of control of the licenses at a point in time upon contract execution. The arrangement includes significant variable consideration, primarily in the form of milestone payments, which was fully constrained at the inception of the contract. The sales-based royalty fee qualifies for the royalty constraint exception and does not require an estimate of the future transaction price. The Company did not record any license revenue pursuant to the Fulcrum Agreement for either of the three months ended March 31, 2026 or 2025.</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variable consideration is remeasured and reassessed each reporting period. As of and for the three months ended March 31, 2026 and 2025, the Company determined all remaining variable consideration was fully constrained.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Collaboration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BioMarin Pharmaceutical Inc.</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2024, the Company entered into a Collaboration and License Agreement (the “BioMarin Agreement”) with BioMarin Pharmaceutical Inc. (“BioMarin”). Under the terms of the BioMarin Agreement, BioMarin paid the Company an upfront, nonrefundable payment of $1.0 million, and reimbursed the Company for certain research activities. As of March 31, 2026, the BioMarin Agreement has terminated in accordance with its terms.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and concluded that BioMarin is a customer and there is one combined performance obligation, which includes performance of R&amp;D activities in accordance with a contractual work plan, participation in a joint steering committee, the grant of an exclusive license to BioMarin, the grant of a non-exclusive license to the data resulting from performance of the R&amp;D activities, and providing quarterly progress reports. The transaction price was determined to be fixed consideration of $3.8 million. The work was primarily performed during 2024 and 2025 and revenue was recognized over time based upon a cost-to-cost method. During the three months ended March 31, 2026 and 2025, the Company recognized $0.1 million and $0.9 million, respectively, in collaboration revenue under the BioMarin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termination of the BioMarin Agreement, the Company does not expect to receive any additional variable consideration.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GlaxoSmithKline Intellectual Property (No. 3) Limited (“GSK”)</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2025, the Company entered into a Research, Collaboration and License Agreement (the “GSK Agreement”) with GlaxoSmithKline Intellectual Property (No. 3) Limited (“GSK”). Under the terms of the GSK Agreement, GSK paid the Company a one-time, nonrefundable upfront payment of $17.5 million. In addition, the Company is eligible to receive up to $440.0 million in development and commercial milestone payments, subject to achievement of specified criteria, as well as tiered royalties on annual net sales of licensed products ranging from the low- to mid-single digits during a defined royalty term for each licensed product. The GSK Agreement may be terminated in its entirety or on a Collaboration Target-by-Collaboration Target basis (as defined in the GSK Agreement) for convenience by GSK and may also be terminated by either the Company or GSK under certain other circumstances, including material breach, as set forth in the GSK Agreement. The term of the GSK Agreement continues on a country-by-country and product-by-product basis until the expiration of the applicable royalty term, unless terminated earlier in accordance with its terms.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and concluded that GSK is a customer and there is one combined performance obligation, which includes performance of R&amp;D activities in accordance with a contractual work plan, participation in a joint steering committee, the grant of an exclusive license to GSK, the grant of a non-exclusive license to the data resulting from performance of the R&amp;D activities, and providing quarterly progress reports. The transaction price was determined to be fixed consideration of $17.5 million. Performance of the work plan began in 2026 and revenue will be recognized over time based upon a cost-to-cost method. The Company recognized $1.2 million in collaboration revenue under the GSK Agreement during the three months ended March 31, 2026. Additionally, the Company recognized a contract liability in short-term deferred revenue of $11.1 million and long-term deferred revenue of $5.2 million on the condensed consolidated balance sheet as of March 31, 2026 related to the upfront payment.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arrangement includes significant variable consideration primarily in the form of milestone payments, which was fully constrained at the inception of the contract. All variable consideration is remeasured and reassessed each reporting period. As of and for the three months ended March 31, 2026, the Company determined the variable consideration was fully constrained.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Derivative Tranche Liability</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Pursuant to the Purchase Agreement, subject to the occurrence of the second closing triggers, the Company has agreed to sell and the investors have agreed to purchase at a closing (the “Second Closing”) up to 32,681,866 shares of the Company’s common stock or pre-funded warrants in lieu thereof at a purchase price of $1.53 per share and $1.5299 per pre-funded warrant, and directors, consultants and members of management have agreed to purchase an additional 39,306 shares of the Company’s common stock at a purchase price of $1.65 per share, for gross proceeds to the Company of up to approximately $50.1 million. The Second Closing triggers include a certain regulatory milestone and either of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a volume weighted average price per share of equal to or greater than $7.50, as defined in the Purchase Agreement, measured during any ten consecutive trading days during the thirty trading days following the date of the Company’s first announcement of the regulatory milestone (the “Price Threshold”), or</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receipt of a signed written notice from investors holding a majority of the Securities outstanding that waives the Price Threshold for purposes of the Second Closing in which case, only the waiving investors will be obligated to participate.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obligation to issue and purchase securities was concluded to be a forward contract derivative liability and was measured at fair value using a probability weighted model at the issuance date. The initial fair value (Level 3) of the forward contract was $14.9 million and was recorded as a derivative tranche liability and was remeasured to $44.8 million as of December 31, 2025. For the three months ended March 31, 2026, the derivative tranche liability was remeasured to $50.9 million with a change in fair-value of $6.2 million recorded in the condensed consolidated statements of operations and comprehensive loss.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up to 175,000,000 shares of $0.0001 par value common stock and up to 25,000,000 shares of $0.0001 par value undesignated preferred stock. The Board may designate the rights, preferences, privileges, and restrictions of the preferred stock, including dividend rights, conversion rights, voting rights, terms of redemption, liquidation preference, and number of shares constituting any series or the designation of any series. The issuance of preferred stock could have the effect of restricting dividends on the Company’s common stock, diluting the voting power of the Company’s common stock, impairing the liquidation rights of the Company’s common stock, or delaying or preventing a change in control. As of March 31, 2026, no shares of preferred stock were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Recent Equity Financings - </w:t>
      </w:r>
      <w:r>
        <w:rPr>
          <w:rFonts w:ascii="Times New Roman" w:cs="Times New Roman" w:eastAsia="Times New Roman" w:hAnsi="Times New Roman"/>
          <w:sz w:val="18"/>
          <w:szCs w:val="18"/>
          <w:i w:val="1"/>
          <w:iCs w:val="1"/>
          <w:color w:val="auto"/>
        </w:rPr>
        <w:t>Private Placement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Initial Closing of the Private Placement occurred on September 11, 2025. At the Initial Closing, the Company issued and sold 26,681,053 shares of the Company’s common stock priced at $1.53 per share to certain investors, some of which were affiliated with directors of the Company, and 36,361 shares of common stock priced at $1.65 to directors, management and consultants of the Company (collectively, the “Shares”). In lieu of common stock, certain investors were sold pre-funded warrants to purchase 6,003,758 shares of common stock (the “Warrant Shares,” and together with the Shares, the “Securities”) at an offering price of $1.5299 per pre-funded warrant. Gross proceeds to the Company totaled $50.1 million before deducting $3.3 million of placement agent fees and other expenses.</w:t>
      </w:r>
    </w:p>
    <w:p>
      <w:pPr>
        <w:spacing w:after="0" w:line="17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pre-funded warrants in the Initial Closing, and those that may be issued in the conditional Second Closing, have an exercise price of $0.0001 per Warrant Share, subject to customary adjustments, will be exercisable at any time after original issuance, will not expire until exercised in full, and will be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on November 3, 2025, the Company filed an initial registration statement on Form S-3 (the “Initial Registration Statement”) with the SEC, which subsequently became effective, to register the Shares for resale and, as applicable, the Warrant Shares, issued in the Initial Closing. If applicable, within 30 days of the Second Closing and subject to certain allowable delays, the Company will prepare and file a second registration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 (the “Second Registration Statement”) with the SEC to register the shares for resale and, as applicable, the warrant shares, in each case that are issued in connection with the Second Closing. The Company will use reasonable best efforts to cause any Second Registration Statement and any amendments thereto to promptly become effective, but in no event later than the earlier of (i) the 75th calendar day following any Second Registration Statement filing date and (ii) the fifth business day after the date the Company is notified by the SEC that any Second Registration Statement, as applicable, will not be “reviewed” or will not be subject to further review.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concluded that the pre-funded warrants issued in the Initial Closing met the conditions to be classified as equity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Sales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10, 2025, the Company filed a shelf registration statement on Form S-3 (the “Shelf Registration Statement”), which subsequently became effective. Pursuant to the Shelf Registration Statement, the Company may offer and sell up to $300.0 million of a variety of securities, including common stock, preferred stock, warrants or debt securities.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filing of the Shelf Registration Statement, the Company also entered into a sales agreement (the “Sales Agreement”) with Leerink Partners, as sales agent, pursuant to which it may issue and sell shares of its common stock for a maximum aggregate offering price of up to $100.0 million, which is included in the $300.0 million of securities that may be offered pursuant to the Shelf Registration Statement. Pursuant to the Sales Agreement, the Company will pay the sales agent a commission rate of up to 3.0% of the gross proceeds from the sale of any shares of its common stock. The Company is not obligated to make any sales of shares of its common stock under the Sales Agreement. During the three months ended March 31, 2026, the Company did not issue any shares of its common stock under the Sales Agreement.</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2024, the Company adopted the 2024 Equity Incentive Plan (the “2024 Plan”), which became effective in connection with the Company’s IPO. The 2024 Plan provides for the grant of stock options, stock appreciation rights, restricted and unrestricted stock awards, restricted stock unit awards, and other stock-based awards to employees, directors, and non-employee service providers of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Awards granted under the 2024 Plan expire no later than ten years from the date of grant. The price of stock options shall not be less than 100% of the estimated fair value on the date of grant and typically vest over a four-year period, although awards may be granted with different vesting terms. The 2024 Plan initially reserved 2,143,039 shares of common stock for the issuance of future awards and provides for an automatic annual increase in the number of shares of common stock reserved for future issuance by the lesser of (i) 5% of the number of shares of the Company’s common stock outstanding as of the close of business on the immediately preceding December 31 and (ii) the number of shares determined by the Company’s Board of Directors on or prior to such date for such year. As of March 31, 2026, there were 3,015,283 shares of common stock reserved and available for issuance pursuant to the 2024 Plan.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granted options for the purchase of 28,000 shares of common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estimate the fair value of the stock options granted during the three months ended March 31, 2026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1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6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1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7"/>
        </w:trPr>
        <w:tc>
          <w:tcPr>
            <w:tcW w:w="36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84.69 %</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7"/>
        </w:trPr>
        <w:tc>
          <w:tcPr>
            <w:tcW w:w="36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769"/>
        </w:trPr>
        <w:tc>
          <w:tcPr>
            <w:tcW w:w="3660" w:type="dxa"/>
            <w:vAlign w:val="bottom"/>
          </w:tcPr>
          <w:p>
            <w:pPr>
              <w:spacing w:after="0"/>
              <w:rPr>
                <w:sz w:val="24"/>
                <w:szCs w:val="24"/>
                <w:color w:val="auto"/>
              </w:rPr>
            </w:pPr>
          </w:p>
        </w:tc>
        <w:tc>
          <w:tcPr>
            <w:tcW w:w="444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19</w:t>
            </w:r>
          </w:p>
        </w:tc>
        <w:tc>
          <w:tcPr>
            <w:tcW w:w="3140" w:type="dxa"/>
            <w:vAlign w:val="bottom"/>
          </w:tcPr>
          <w:p>
            <w:pPr>
              <w:spacing w:after="0"/>
              <w:rPr>
                <w:sz w:val="24"/>
                <w:szCs w:val="24"/>
                <w:color w:val="auto"/>
              </w:rPr>
            </w:pPr>
          </w:p>
        </w:tc>
      </w:tr>
      <w:tr>
        <w:trPr>
          <w:trHeight w:val="331"/>
        </w:trPr>
        <w:tc>
          <w:tcPr>
            <w:tcW w:w="36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weighted average grant-date fair value of options granted was $3.71.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employees of the Company purchased an aggregate of 15,562 shares under the 2024 Employee Stock Purchase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expense for the three months ended March 31, 2026 and 2025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7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8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aggregate of $10.4 million of gross unrecognized stock-based compensation expense as of March 31, 2026, which is expected to be recognized over a weighted average period of 2.5 years.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provision for federal, state, or foreign income taxes has been recorded for the three months ended March 31, 2026 and 2025 and the effective tax rate was zero. The Company has incurred net operating losses for all the periods presented and has not reflected any benefit for such net operating loss carryforwards in the accompanying condensed consolidated financial statements due to uncertainty around utilizing these tax attributes within their respective carryforward periods. The Company has recorded a full valuation allowance against its deferred tax assets as it is more likely than not that such assets will not be realized in the near future.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no reserves related to uncertain tax positions as of March 31, 2026 and December 31, 2025. For the three months ended March 31, 2026 and 2025, the Company has not recognized any potential interest or penalties. The Company is not currently subject to any tax assessment from an income tax examination in the U.S. or any other taxing jurisdiction.</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operates as a single operating segment: R&amp;D, which engages in the business of developing a new class of RNA-based therapeutics to treat a broad range of genetic diseases. The Company's operations are primarily in the United States.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CODM is its Chief Executive Officer. The CODM uses net loss, as reported on the Company’s condensed consolidated statement of operations and comprehensive loss, in evaluating performance and determining how to allocate resources. The CODM does not review assets in evaluating the results and therefore, such information is not presented.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operating financial results of the Company’s R&amp;D segment for the three months ended March 31, 2026 and 2025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Clinical and preclinical expenses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Facilities-related and overhead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Travel and entertainment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Other segment (loss) income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segment income includes total other income,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 (1)</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57,923,674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20,152,872</w:t>
            </w: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w:t>
      </w:r>
    </w:p>
    <w:p>
      <w:pPr>
        <w:spacing w:after="0" w:line="220" w:lineRule="exact"/>
        <w:rPr>
          <w:sz w:val="20"/>
          <w:szCs w:val="20"/>
          <w:color w:val="auto"/>
        </w:rPr>
      </w:pPr>
    </w:p>
    <w:p>
      <w:pPr>
        <w:ind w:left="660" w:hanging="4"/>
        <w:spacing w:after="0" w:line="282" w:lineRule="auto"/>
        <w:tabs>
          <w:tab w:leader="none" w:pos="9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common shares outstanding for the three months ended March 31, 2026 includes 6,003,758 of common shares issuable upon the exercise of pre-funded warrants issued in the Initial Closing.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or have included convertible preferred stock, outstanding stock options, unvested restricted common stock, and warrants to purchase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as of March 31, 2026 and 2025 because their inclusion would have had an anti-dilutive effect: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10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4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8140" w:type="dxa"/>
            <w:vAlign w:val="bottom"/>
          </w:tcPr>
          <w:p>
            <w:pPr>
              <w:spacing w:after="0"/>
              <w:rPr>
                <w:sz w:val="16"/>
                <w:szCs w:val="16"/>
                <w:color w:val="auto"/>
              </w:rPr>
            </w:pPr>
          </w:p>
        </w:tc>
        <w:tc>
          <w:tcPr>
            <w:tcW w:w="15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5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settlement of derivative tranche liability in Private Placement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32,681,866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4,391,321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2,215,308</w:t>
            </w:r>
          </w:p>
        </w:tc>
      </w:tr>
      <w:tr>
        <w:trPr>
          <w:trHeight w:val="27"/>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vesting</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outstanding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37,073,329</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2,219,727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2015, the Company entered into consulting agreements with its two founders, related parties who hold shares of the Company’s common stock, to provide R&amp;D and strategic planning services. For both the three months ended March 31, 2026 and 2025, the Company recognized R&amp;D expense of $0.1 million related to work performed under the founder agreements. For both the three months ended March 31, 2026 and 2025, the Company recognized stock-based compensation expense of less than $0.1 million related to the consulting agreements. The Company had no amounts due to the founders as of March 31, 2026 or 2025.</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2019, the Company entered into a consulting agreement with an executive consultant, a related party who holds shares of the Company’s common stock. For each of the three months ended March 31, 2026 and 2025, the Company recognized G&amp;A expense totaling less than $0.1 million related to work performed under the consulting agreement. For each of the three months ended March 31, 2026 and 2025, the Company recognized stock-based compensation expense of less than $0.1 million related to the consulting agreement. The Company had no amounts due to the consultant as of March 31, 2026 or 2025.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and the unaudited interim condensed consolidated financial statements and related notes included in this Quarterly Report on Form 10-Q (the “Quarterly Report”) should be read in conjunction with the audited financial statements and related notes thereto in our Annual Report on Form 10-K for the fiscal year ended December 31, 2025, which was filed with the Securities and Exchange Commission (the “SEC”) on March 5, 2026 (the “2025 Form 10-K”). This discussion and analysis and other parts of this Quarterly Report contain forward-looking statements. Our actual results and the timing of selected events could differ materially from those described in or implied by these forward-looking statements. Factors that could cause or contribute to such differences include, but are not limited to, those discussed in the sections of this Quarterly Report titled “Special Note Regarding Forward-Looking Statements,” and those risk factors described in “Part I, Item 1A, Risk Factors” of our 2025 Form 10-K and in “Part II, Item 1A, Risk Factors” in this Quarterly Report.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are a clinical-stage biopharmaceutical company pioneering the discovery and development of a new class of RNA-targeting therapeutics with the goal of upregulating gene expression and restoring healthy protein levels to treat a broad range of genetic diseases. Our lead product candidate, CMP-002, has the potential to be the first disease-modifying therapy for the treatment of synaptic Ras GTPase activating protein 1 (“SYNGAP1”)-related disorder, or SYNGAP1, a severe developmental and epileptic encephalopathy (“DEE”) characterized by seizures, developmental delays, and cognitive impairments. SYNGAP1 is caused by haploinsufficiency of the </w:t>
      </w:r>
      <w:r>
        <w:rPr>
          <w:rFonts w:ascii="Times New Roman" w:cs="Times New Roman" w:eastAsia="Times New Roman" w:hAnsi="Times New Roman"/>
          <w:sz w:val="18"/>
          <w:szCs w:val="18"/>
          <w:i w:val="1"/>
          <w:iCs w:val="1"/>
          <w:color w:val="auto"/>
        </w:rPr>
        <w:t>SYNGAP1</w:t>
      </w:r>
      <w:r>
        <w:rPr>
          <w:rFonts w:ascii="Times New Roman" w:cs="Times New Roman" w:eastAsia="Times New Roman" w:hAnsi="Times New Roman"/>
          <w:sz w:val="18"/>
          <w:szCs w:val="18"/>
          <w:color w:val="auto"/>
        </w:rPr>
        <w:t xml:space="preserve"> gene, where mutation of one functional gene copy results in a reduction in SYNGAP protein levels of up to 50%. While we believe that it remains underdiagnosed, we estimate that there are approximately 21,000 individuals living with SYNGAP1 in the United States and the five largest European markets. There are no approved disease-modifying therapies for SYNGAP1.</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CMP-002 is a novel, intrathecally delivered antisense oligonucleotide (“ASO”) designed to target the </w:t>
      </w:r>
      <w:r>
        <w:rPr>
          <w:rFonts w:ascii="Times New Roman" w:cs="Times New Roman" w:eastAsia="Times New Roman" w:hAnsi="Times New Roman"/>
          <w:sz w:val="18"/>
          <w:szCs w:val="18"/>
          <w:i w:val="1"/>
          <w:iCs w:val="1"/>
          <w:color w:val="auto"/>
        </w:rPr>
        <w:t>SYNGAP1</w:t>
      </w:r>
      <w:r>
        <w:rPr>
          <w:rFonts w:ascii="Times New Roman" w:cs="Times New Roman" w:eastAsia="Times New Roman" w:hAnsi="Times New Roman"/>
          <w:sz w:val="18"/>
          <w:szCs w:val="18"/>
          <w:color w:val="auto"/>
        </w:rPr>
        <w:t xml:space="preserve"> gene at the transcriptional level to increase gene expression, which may increase SYNGAP protein levels in amounts sufficient to yield therapeutic benefit. In preclinical studies, intracerebroventricular injection of CMP-002 restored SYNGAP protein levels to near normal range in haploinsufficient mice carrying a single copy of the human </w:t>
      </w:r>
      <w:r>
        <w:rPr>
          <w:rFonts w:ascii="Times New Roman" w:cs="Times New Roman" w:eastAsia="Times New Roman" w:hAnsi="Times New Roman"/>
          <w:sz w:val="18"/>
          <w:szCs w:val="18"/>
          <w:i w:val="1"/>
          <w:iCs w:val="1"/>
          <w:color w:val="auto"/>
        </w:rPr>
        <w:t>SYNGAP1</w:t>
      </w:r>
      <w:r>
        <w:rPr>
          <w:rFonts w:ascii="Times New Roman" w:cs="Times New Roman" w:eastAsia="Times New Roman" w:hAnsi="Times New Roman"/>
          <w:sz w:val="18"/>
          <w:szCs w:val="18"/>
          <w:color w:val="auto"/>
        </w:rPr>
        <w:t xml:space="preserve"> gene after a single dose and rescued motor defects and spatial learning defects following two doses. In addition, biweekly intrathecal injections of CMP-002 in cynomolgus monkeys were well tolerated and significantly increased SYNGAP protein levels across multiple brain regions clinically relevant to the disease, with dose-linear increases of CMP-002 in disease-relevant brain regions. We have submitted our first regulatory filing in Australia to enable initiation of a clinical trial in individuals with SYNGAP1, with additional global regulatory filings planned in 2026. Pending regulatory clearance, we intend to initiate the global Phase 1/2 clinical trial in the second half of 2026.</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product development efforts are enabled by our proprietary RAP Platform. We leverage our RAP Platform to identify and characterize regulatory RNAs (“regRNAs”), which play a central role in the regulation of every protein-coding gene by contributing to gene activation and suppression. Our approach is designed to amplify messenger RNA (“mRNA”) expression by harnessing the power of regRNAs that form localized complexes with transcription factors and regulate gene expression. Our RAP Platform allows us to rapidly and systematically identify and characterize the active regulatory elements controlling every expressed gene and tens of thousands of druggable enhancer and promoter regRNA sequences that control protein-coding genes. Once a disease-associated target gene is identified, we apply our RAP Platform to identify the controlling regRNA and rapidly generate novel ASO candidates. These ASOs are designed to bind to the identified regRNA and amplify the expression of the target gene in a specific and controllable way.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primary therapeutic focus is on diseases of the central nervous system (“CNS”), where there are numerous rare and prevalent haploinsufficient diseases with no approved treatments for which a modest increase in protein expression has the potential to be clinically meaningful. In addition to our SYNGAP1 program, we are advancing discovery programs in other DEE indications. We also intend to leverage strategic discovery partnerships, including our research, collaboration, and license agreement with GlaxoSmithKline, to extend the application of our RAP Platform beyond the CNS and validate our approach to gene upregulation in additional tissues and disease areas.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in 2015, we have focused substantially all of our resources primarily on developing our RAP Platform, identifying, developing and progressing our product candidates through preclinical and clinical development, organizing and staffing our company, conducting research and development (“R&amp;D”) activities, establishing and protecting our intellectual property portfolio, and raising capital. To date, we have primarily funded our operations with proceeds from the sale of convertible preferred stock and common stock, including pursuant to an underwritten offering completed in December 2025, a private placement of our common stock and pre-funded warrants, the initial closing of which occurred in September 2025 (the “September 2025 private placement”), and our initial public offering (“IPO”), which closed 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October 15, 2024, as well as through revenues from our license and collaboration agreements. Through March 31, 2026, we have received net proceeds of $28.1 million from our December 2025 underwritten offering, $46.7 million from the September 2025 private placement, $72.4 million from our IPO and $188.3 million from the sale of our convertible preferred stock prior to our IPO. In addition, through March 31, 2026, we have recognized $22.8 million in research collaboration and license revenue through our development and license agreements. Our ability to generate any product revenue and, in particular, our ability to generate product revenue sufficient to achieve profitability, will depend on the successful development and eventual commercialization of product candidates.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Our net losses were $18.3 million and $12.4 million for the three months ended March 31, 2026 and 2025, respectively. As of March 31, 2026, we had an accumulated deficit of $310.5 million. Substantially all our net losses have resulted from costs incurred in connection with our R&amp;D programs and, to a lesser extent, from general and administrative (“G&amp;A”) costs associated with our operations. Our net losses may fluctuate significantly from quarter-to-quarter and year-to-year, depending on the timing of our clinical trials and preclinical studies, our other R&amp;D activities and capital expenditures, and the timing and amount of any milestone or royalty payments due under our existing or future license or collaboration agreements. In addition, we incur additional costs associated with operating as a public company, including significant legal, audit, accounting, regulatory and tax-related services associated with maintaining compliance with exchange listing and requirements of the Securities and Exchange Commission (“SEC”), director and officer liability insurance costs, investor and public relations costs, and other expenses that we did not incur as a private company. If we obtain regulatory approval for our product candidates, we expect to incur significant expenses related to developing our commercialization capability to support product sales, marketing and distribution.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 preclinical development for CMP-002 and advance into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current and future product candidates through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RAP Platform and seek to identify and develop additional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defend and enforce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third-party manufacturers for preclinical and clinical supply to support any future product candidates we may develop and for commercial supply with respect to any such product candidates that receive regulatory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products for which we may obtain marketing approval;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legal, compliance, financial and management information systems and personnel to support our research, product development and future commercialization efforts.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therapeutics, we are unable to accurately predict the timing or amount of increased expenses and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as planned and may be forced to reduce or terminate our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We will not generate revenue from product sales unless and until we successfully complete clinical development and obtain regulatory approval for our current or any future product candidates, which we expect will take a number of years or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and potential future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collaborations, license agreements,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develop and market ourselves, or even cease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we had cash and cash equivalents of $99.2 million. Based on our current operating plan, we estimate that our cash and cash equivalents as of March 31, 2026 will be sufficient to fund our operating expenses and capital expenditure requirements into 2028. However, we have based this estimate on assumptions that may prove to be wrong, and we could deplete our capital resources sooner than we currently expect. See the sections titled “—Liquidity and Capital Resources” and “Risk Factors—Risks Related to our Financial Position and Need for Additional Capital” included in our 2025 Form 10-K.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clinical supply as well as commercial supply if we obtain marketing approval. In addition, we rely on third parties to package, label, store, and distribute our clinical supply and we intend to rely on third parties to conduct the same activities for our commercial products if we obtain regulatory approval. We believe that this strategy allows us to maintain a more efficient infrastructure by eliminating the need for us to invest in our own manufacturing facilities, equipment, and personnel while also enabling us to focus our expertise and resources on the development of product candidates and continued enhancement of our RAP Platform.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7"/>
        </w:trPr>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7"/>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tranche liability</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r>
      <w:tr>
        <w:trPr>
          <w:trHeight w:val="27"/>
        </w:trPr>
        <w:tc>
          <w:tcPr>
            <w:tcW w:w="6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r>
      <w:tr>
        <w:trPr>
          <w:trHeight w:val="27"/>
        </w:trPr>
        <w:tc>
          <w:tcPr>
            <w:tcW w:w="6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Collaboration Revenue</w:t>
      </w:r>
    </w:p>
    <w:p>
      <w:pPr>
        <w:spacing w:after="0" w:line="21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recognized $1.3 million in research and collaboration revenue during the three months ended March 31, 2026, compared to $0.9 million during the three months ended March 31, 2025. Research and collaboration revenue recognized in the three months ended March 31, 2026 primarily related to our Research, Collaboration and License Agreement with GlaxoSmithKline Intellectual Property (No. 3) Limited (“GSK”) and research and collaboration revenue recognized in the three months ended March 31, 2025 related to our Collaboration and License Agreement with BioMarin.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97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three months ended March 31, 2026 and 2025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86"/>
        </w:trPr>
        <w:tc>
          <w:tcPr>
            <w:tcW w:w="6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7"/>
        </w:trPr>
        <w:tc>
          <w:tcPr>
            <w:tcW w:w="65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preclinical expenses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6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Facilities-related and overhead expense</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7"/>
        </w:trPr>
        <w:tc>
          <w:tcPr>
            <w:tcW w:w="6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R&amp;D expenses</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10,160</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R&amp;D expenses were $10.2 million for the three months ended March 31, 2026, compared to $10.1 million for the three months ended March 31, 2025. The nominal increase was primarily driven by higher personnel-related costs of $0.3 million due to increased stock-based compensation expense and higher clinical and preclinical costs of $0.2 million as we continue to advance CMP-002, including entering into contractual obligations with a contract research organization for services related to our planned Phase 1/2 clinical trial. These increases were partially offset by a decrease of $0.5 million in professional and consulting fees.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G&amp;A expenses for the three months ended March 31, 2026 and 2025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7"/>
        </w:trPr>
        <w:tc>
          <w:tcPr>
            <w:tcW w:w="6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389</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6"/>
              </w:rPr>
              <w:t>319</w:t>
            </w:r>
          </w:p>
        </w:tc>
      </w:tr>
      <w:tr>
        <w:trPr>
          <w:trHeight w:val="27"/>
        </w:trPr>
        <w:tc>
          <w:tcPr>
            <w:tcW w:w="6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Facilities-related and overhead expense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6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G&amp;A expenses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6"/>
              </w:rPr>
              <w:t>393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G&amp;A expenses were $4.2 million for the three months ended March 31, 2026, compared to $3.8 million for the three months ended March 31, 2025. The increase of $0.4 million was primarily driven by personnel-related costs of $0.4 million due to increased stock-based compensation expense and an increase of $0.3 million in professional and consulting fees related to audit and tax costs. These increases were partially offset by a decrease of $0.2 million in facilities and overhead expenses due to the rent abatement period starting in October 2025 associated with the December 2025 lease modification and a decrease of $0.1 million due to a reduction in state franchise taxes.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Other (expense) income, net for the three months ended March 31, 2026 was a $5.3 million expense, compared to $0.7 million of income for the three months ended March 31, 2025. The change was primarily due to a $6.2 million non-cash expense for the change in fair value of our derivative tranche liability associated with the Second Closing of our Private Placement. This expense was partially offset by a $0.3 million increase in interest income due to higher average invested cash balances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expect to incur significant expenses and operating losses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foreseeable future as we advance the development of product candidates. Through March 31, 2026, we have primarily funded our operations with proceeds from the sale of our equity securities and revenues from our license and collaboration agreements.</w:t>
      </w:r>
    </w:p>
    <w:p>
      <w:pPr>
        <w:spacing w:after="0" w:line="14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November 2025, we filed a shelf registration statement on Form S-3 (the “Shelf Registration Statement”). Pursuant to the Shelf Registration Statement, we may offer and sell securities having an aggregate public offering price of up to $300.0 million.</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filing of the Shelf Registration Statement, we also entered into a sales agreement (the “Sales Agreement”) with Leerink Partners LLC, as sales agent, pursuant to which we may issue and sell shares of our common stock for a maximum aggregate offering price of up to $100.0 million, which is included in the $300.0 million of securities that may be offered pursuant to the Shelf Registration Statement. Pursuant to the Sales Agreement, we will pay the sales agent a commission rate of up to 3.0% of the gross proceeds from the sale of any shares of our common stock. We are not obligated to make any sales of shares of our common stock under the Sales Agreement. During the three months ended March 31, 2026 and the year ended December 31, 2025, we did not issue any shares of our common stock under the Sales Agreement.</w:t>
      </w:r>
    </w:p>
    <w:p>
      <w:pPr>
        <w:spacing w:after="0" w:line="20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of March 31, 2026, we had cash and cash equivalents of $99.2 million. Based on our current operating plan, we estimate that our cash and cash equivalents as of March 31, 2026 will be sufficient to fund our operating expenses and capital expenditure requirements into 2028. However, we have based this estimate on assumptions that may prove to be wrong, and we could deplete our capital resources sooner than we currently expect. Our future viability is dependent on our ability to generate cash from our operating activities or to raise additional capital to finance our operations. There is no assurance that we will succeed in obtaining sufficient funding on terms acceptable to us to fund continuing operations, if at all.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our product candidates and seek to discover and develop additional product candidates, conduct our ongoing and planned clinical trials and preclinical studies, continue our R&amp;D activities, hire additional personnel, expand and protect our intellectual property, and incur additional costs associated with being a public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timing and amount of our future funding requirements will depend on many factors, including:</w:t>
      </w:r>
    </w:p>
    <w:p>
      <w:pPr>
        <w:spacing w:after="0" w:line="117" w:lineRule="exact"/>
        <w:rPr>
          <w:sz w:val="20"/>
          <w:szCs w:val="20"/>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progress, expansions, results, costs and timing of preclinical studies and clinical trials of our product candidates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product candidates, including commercial manufacturing at sufficient scale, if any product candidate is approved;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outcome of regulatory meetings and reviews of our product candidates or any future product candidates, including requirements of regulatory authorities in any additional jurisdictions in which we may seek approval and any future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clinical and preclinical activities increase;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payment of milestone, royalty or other payments we must make or may receive pursuant to our existing and potential future license or collaboration agreements with third parties;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our product candidates or any future product candidate is approved;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and willingness to pay out-of-pocket for any approved products in the absence of coverage and/or adequate reimbursement from third-party payors;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plans and other demands for our cash resources may change because of many factors currently unknown to us, and we may need to seek additional funds sooner than planned.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revenues, we expect to finance our operations through the sale of equity securities, debt financings, working capital lines of credit, strategic alliances and/or license arrangements, grant funding, interest income earned on invested cash balances or a combination of two or more of these sources. However, we may be unable to raise additional funds or enter into such other arrangements when needed, on favorable terms or at all. To the extent we raise additional capital through the sale of equity or convertible debt securities, investors’ ownership interest will be diluted, and the terms of these securities may include liquidation or other preferences that adversely affect the rights of a common stockholder. Debt financing and preferred equity financing, if available, may involve agreements that include covenants limiting or restricting our ability to take specific actions, such as incurring additional debt,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other than those disclosed within Notes 4, 5, and 6 to our condensed consolidated financial statements, there have been no material changes to our contractual obligations and commitments from those described under “Management’s Discussion and Analysis of Financial Condition and Results of Operations” included in our 2025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 and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820" w:type="dxa"/>
            <w:vAlign w:val="bottom"/>
            <w:tcBorders>
              <w:bottom w:val="single" w:sz="8" w:color="CCEEFF"/>
            </w:tcBorders>
          </w:tcPr>
          <w:p>
            <w:pPr>
              <w:spacing w:after="0"/>
              <w:rPr>
                <w:sz w:val="3"/>
                <w:szCs w:val="3"/>
                <w:color w:val="auto"/>
              </w:rPr>
            </w:pPr>
          </w:p>
        </w:tc>
        <w:tc>
          <w:tcPr>
            <w:tcW w:w="32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6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2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8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8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$11.0 million of cash, primarily resulting from our net loss of $18.3 million, and net cash used in changes in our operating assets and liabilities of $0.9 million, partially offset by non-cash charges of $8.2 million, including stock-based compensation expense, loss from the change in fair value of our derivative tranche liability, non-cash operating lease expense, and depreciation and amortization.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$14.3 million of cash, primarily resulting from our net loss of $12.4 million and net cash used in changes in our operating assets and liabilities of $3.7 million, partially offset by non-cash charges of $1.9 million, including stock-based compensation expense, non-cash operating lease expense, and depreciation and amortization.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each of the three months ended March 31, 2026 and 2025, cash used in operations was primarily related to clinical and preclinical efforts, compensation and benefits for our employees, consulting and other professional fees, and rent for our Cambridge and Boulder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there was no net cash used in or provided by investing activities.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investing activities was $0.3 million, due to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$0.1 million, consisting primarily of proceeds from the exercise of stock options and issuance of common stock under the 2024 Employee Stock Purchase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used by financing activities was $0.2 million, consisting primarily of principal payments on finance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in the preparation of our condensed consolidated financial statements during the three months ended March 31, 2026 compared to those disclosed in our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included elsewhere in this Quarterly Report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we may remain an emerging growth company until December 31, 2029 or until such earlier time that we are no longer an emerging growth company.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exemptions from the requirements of holding a nonbinding advisory vote on executive compensation and any golden parachute payments not previously approved and an exemption from compliance with the requirements regarding the communication of critical audit matters in the auditor’s report on financial statements.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We have elected to avail ourselves of this extended transition period, which means that when a standard is issued or revised and it has different application dates for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As a result of this election, our financial statements may not be comparable to those of companies that are not emerging growth companies.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at least $1.235 billion in annual revenue; (ii)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(iii) the date on which we have issued more than $1.0 billion in nonconvertible debt securities during the prior three-year period; and (iv) December 31, 2029.</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$700.0 million and our annual revenue was less than $100.0 million during the most recently completed fiscal year. We may continue to be a smaller reporting company if either:</w:t>
      </w:r>
    </w:p>
    <w:p>
      <w:pPr>
        <w:jc w:val="both"/>
        <w:ind w:firstLine="8"/>
        <w:spacing w:after="0" w:line="252"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$250.0 million; or (ii) our annual revenue was less than $100.0 million during the most recently completed fiscal year and the market value of our shares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to a smaller reporting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defined in Rules 13a-15(e) and 15d-15(e) under the Securities Exchange Act of 1934 as of March 31, 2026. The term “disclosure controls and procedures,” as defined in Rules 13a-15(e) and 15d-15(e) under the Exchange Act, means controls and other procedures of a company that are designed to ensure that information required to be disclosed by us in the reports that we file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2025 (the “2025 Form 10-K”), which could materially affect our business, financial condition or future results. The risk factors disclosure in our 2025 Form 10-K is qualified by the information that is described in this Quarterly Report on Form 10-Q. The risks described in our 2025 Form 10-K are not our only risks. Additional risks and uncertainties not presently known to us or that we currently believe to be immaterial also may materially adversely affect our business, financial condition or future results. There have been no material changes to our risk factors as previously disclosed in the 2025 Form 10-K except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Commercialization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orphan drug designation for CMP-001 and CMP-002 in certain jurisdictions, are pursuing orphan drug designation for CMP-002 in the United States, and may seek orphan drug designation for other product candidates in the future. We may not be able to obtain or maintain the benefits of orphan drug designation, including potential orphan drug exclusivity, and even if we do, that exclusivity may not prevent regulatory authorities from approving other competing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granted orphan drug designation to CMP-001 for the treatment of UCDs in September 2024. In addition, the EMA granted orphan drug designation to CMP-002 for the treatment of SYNGAP1 in April 2026, and we have submitted an orphan drug designation request to the FDA for CMP-</w:t>
      </w:r>
    </w:p>
    <w:p>
      <w:pPr>
        <w:jc w:val="both"/>
        <w:ind w:firstLine="8"/>
        <w:spacing w:after="0" w:line="252" w:lineRule="auto"/>
        <w:tabs>
          <w:tab w:leader="none" w:pos="3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we may not be able to obtain or maintain the benefits of such designations, including potential orphan drug exclusivity. Additionally, we may seek orphan drug designation for certain of our other product candidates in the future; however, we may never receive such designations. Under the Orphan Drug Act, the FDA may designate a product candidate as an orphan drug if it is a drug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an NDA. A similar regulatory scheme governs orphan products in the EU and the United Kingdom based on, among others, prevalence of the disease or condition of less than 5 in 10,000.</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application fee waivers. After the FDA grants orphan drug designation, the generic identity of the product candidate and its potential orphan use are disclosed publicly by the FDA. In addition, if a product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product for the same therapeutic indication for seven years.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products can be approved for the same condition.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of the patients with the rare disease or condition. Further, even if we obtain orphan drug designation, we may not be the first to obtain marketing approval for any particular orphan indication due to the uncertainties associated with developing pharmaceutical products.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it is unclear how future litigation, legislation, agency decisions, or administrative actions may impact the scope of the orphan drug exclusivity.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2026, we granted stock options to two new employees to purchase a total of 16,000 shares of our common stock at a weighted average exercise price of $4.82 per share. These options were inducement grants made outside of our 2024 Equity Incentive Plan in accordance with Nasdaq Listing Rule 5635(c)(4) and Section 4(a)(2) of the Securities Act of 1933, as amended (the “Securities Act”). The options have a ten-year term and vest over four years, with 25% of the shares underlying the option award vesting on the one-year anniversary of the applicable employee’s new hire date and the remaining 75% of the shares underlying the award vesting monthly thereafter for three years. Vesting of each option is subject to the employee’s continued service with our company through the applicable vesting date. We subsequently filed a registration statement on Form S-8 to register the shares of common stock underlying these options.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(b)Use of Proceeds from Public Offering of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10, 2024, our Registration Statement on Form S-1, as amended (File No. 333-282241), was declared effective in connection with our IPO, pursuant to which we sold an aggregate of 6,820,000 shares of our common stock at a price to the public of $11.00 per share. The underwriters of our IPO were J.P. Morgan Securities LLC, Leerink Partners LLC, Piper Sandler &amp; Co. and William Blair &amp; Company, L.L.C.</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IPO closed on October 15, 2024. In connection with the IPO, we granted the underwriters a 30-day option to purchase an additional 1,023,000 shares of common stock. On November 1, 2024, pursuant to the partial exercise by the underwriters of such option, we issued an additional 643,762 shares of common stock. We received aggregate gross proceeds of $82.1 million in connection with the IPO and subsequent exercise of the underwriters’ option and aggregate net proceeds of $76.4 million after deducting underwriting discounts and commissions payable by us. In connection with our IPO, no payments were made by us to directors, officers or persons owning ten percent or more of our ordinary shares or to their associates or to our affiliates. There has been no material change in the planned use of proceeds from our IPO as described in our prospectus filed pursuant to Rule 424(b)(4) under the Securities Act with the SEC on October 11, 2024. We are holding the balance of the net proceeds in cash and cash equivalents.</w:t>
      </w:r>
    </w:p>
    <w:p>
      <w:pPr>
        <w:spacing w:after="0" w:line="185" w:lineRule="exact"/>
        <w:rPr>
          <w:sz w:val="20"/>
          <w:szCs w:val="20"/>
          <w:color w:val="auto"/>
        </w:rPr>
      </w:pPr>
    </w:p>
    <w:p>
      <w:pPr>
        <w:ind w:left="660" w:right="8140" w:hanging="652"/>
        <w:spacing w:after="0" w:line="500" w:lineRule="auto"/>
        <w:tabs>
          <w:tab w:leader="none" w:pos="2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16, 2026, Richard Young, PhD, a member of our board of directors, adopted a trading plan intended to satisfy the conditions specified in Rule 10b5-1(c) under the Exchange Act for an affirmative defense against liability for trading in securities on the basis of material nonpublic information. Pursuant to this plan, Dr. Young may sell up to 50,000 shares of our common stock beginning on June 15, 2026, subject to the terms of the plan. The plan will terminate on or prior to December 15,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0" w:type="dxa"/>
            <w:vAlign w:val="bottom"/>
            <w:gridSpan w:val="6"/>
          </w:tcPr>
          <w:p>
            <w:pPr>
              <w:ind w:left="1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Fifth Amended and Restated Certificate of Incorporation of CAMP4 Therapeutics Corporation (incorporated by reference to Exhibit</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8"/>
          </w:tcPr>
          <w:p>
            <w:pPr>
              <w:spacing w:after="0" w:line="19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Form 8-K filed on October 15, 2024, File No. 001-42365)</w:t>
              </w:r>
            </w:hyperlink>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Amended and Restated Bylaws of CAMP4 Therapeutics Corporation (incorporated by reference to Exhibit 3.2 to the Form 8-K filed</w:t>
              </w:r>
            </w:hyperlink>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on October 15, 2024, File No. 001-42365)</w:t>
              </w:r>
            </w:hyperlink>
          </w:p>
        </w:tc>
        <w:tc>
          <w:tcPr>
            <w:tcW w:w="6600" w:type="dxa"/>
            <w:vAlign w:val="bottom"/>
            <w:gridSpan w:val="6"/>
          </w:tcPr>
          <w:p>
            <w:pPr>
              <w:spacing w:after="0"/>
              <w:rPr>
                <w:sz w:val="17"/>
                <w:szCs w:val="17"/>
                <w:color w:val="auto"/>
              </w:rPr>
            </w:pPr>
          </w:p>
        </w:tc>
      </w:tr>
      <w:tr>
        <w:trPr>
          <w:trHeight w:val="412"/>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CAMP4 Therapeutics Corporation Amended and Restated Non-Employee Director Compensation Policy.</w:t>
            </w:r>
          </w:p>
        </w:tc>
        <w:tc>
          <w:tcPr>
            <w:tcW w:w="2020" w:type="dxa"/>
            <w:vAlign w:val="bottom"/>
            <w:gridSpan w:val="2"/>
          </w:tcPr>
          <w:p>
            <w:pPr>
              <w:spacing w:after="0"/>
              <w:rPr>
                <w:sz w:val="24"/>
                <w:szCs w:val="24"/>
                <w:color w:val="auto"/>
              </w:rPr>
            </w:pPr>
          </w:p>
        </w:tc>
      </w:tr>
      <w:tr>
        <w:trPr>
          <w:trHeight w:val="41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41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71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460" w:type="dxa"/>
            <w:vAlign w:val="bottom"/>
            <w:gridSpan w:val="3"/>
          </w:tcPr>
          <w:p>
            <w:pPr>
              <w:spacing w:after="0"/>
              <w:rPr>
                <w:sz w:val="24"/>
                <w:szCs w:val="24"/>
                <w:color w:val="auto"/>
              </w:rPr>
            </w:pPr>
          </w:p>
        </w:tc>
      </w:tr>
      <w:tr>
        <w:trPr>
          <w:trHeight w:val="41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300" w:type="dxa"/>
            <w:vAlign w:val="bottom"/>
            <w:gridSpan w:val="7"/>
          </w:tcPr>
          <w:p>
            <w:pPr>
              <w:spacing w:after="0"/>
              <w:rPr>
                <w:sz w:val="17"/>
                <w:szCs w:val="17"/>
                <w:color w:val="auto"/>
              </w:rPr>
            </w:pPr>
          </w:p>
        </w:tc>
      </w:tr>
      <w:tr>
        <w:trPr>
          <w:trHeight w:val="41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300" w:type="dxa"/>
            <w:vAlign w:val="bottom"/>
            <w:gridSpan w:val="7"/>
          </w:tcPr>
          <w:p>
            <w:pPr>
              <w:spacing w:after="0"/>
              <w:rPr>
                <w:sz w:val="17"/>
                <w:szCs w:val="17"/>
                <w:color w:val="auto"/>
              </w:rPr>
            </w:pPr>
          </w:p>
        </w:tc>
      </w:tr>
      <w:tr>
        <w:trPr>
          <w:trHeight w:val="43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9373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6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25" w:lineRule="exact"/>
        <w:rPr>
          <w:sz w:val="20"/>
          <w:szCs w:val="20"/>
          <w:color w:val="auto"/>
        </w:rPr>
      </w:pPr>
    </w:p>
    <w:p>
      <w:pPr>
        <w:jc w:val="both"/>
        <w:ind w:left="34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283" w:lineRule="exact"/>
        <w:rPr>
          <w:sz w:val="20"/>
          <w:szCs w:val="20"/>
          <w:color w:val="auto"/>
        </w:rPr>
      </w:pPr>
    </w:p>
    <w:tbl>
      <w:tblPr>
        <w:tblLayout w:type="fixed"/>
        <w:tblInd w:w="52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Josh Mandel-Brehm</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 Mandel-Brehm</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60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Kelly Gold</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Kelly Gold</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r>
        <w:trPr>
          <w:trHeight w:val="702"/>
        </w:trPr>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35</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CAMP4 THERAPEUTICS CORPORATION</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36" w:lineRule="exact"/>
        <w:rPr>
          <w:sz w:val="20"/>
          <w:szCs w:val="20"/>
          <w:color w:val="auto"/>
        </w:rPr>
      </w:pPr>
    </w:p>
    <w:p>
      <w:pPr>
        <w:jc w:val="both"/>
        <w:ind w:right="260" w:firstLine="652"/>
        <w:spacing w:after="0" w:line="256" w:lineRule="auto"/>
        <w:rPr>
          <w:sz w:val="20"/>
          <w:szCs w:val="20"/>
          <w:color w:val="auto"/>
        </w:rPr>
      </w:pPr>
      <w:r>
        <w:rPr>
          <w:rFonts w:ascii="Times New Roman" w:cs="Times New Roman" w:eastAsia="Times New Roman" w:hAnsi="Times New Roman"/>
          <w:sz w:val="22"/>
          <w:szCs w:val="22"/>
          <w:color w:val="1C1C1C"/>
        </w:rPr>
        <w:t xml:space="preserve">Effective </w:t>
      </w:r>
      <w:r>
        <w:rPr>
          <w:rFonts w:ascii="Times New Roman" w:cs="Times New Roman" w:eastAsia="Times New Roman" w:hAnsi="Times New Roman"/>
          <w:sz w:val="22"/>
          <w:szCs w:val="22"/>
          <w:color w:val="0C0C0C"/>
        </w:rPr>
        <w:t>as of April 1, 2026</w:t>
      </w:r>
      <w:r>
        <w:rPr>
          <w:rFonts w:ascii="Times New Roman" w:cs="Times New Roman" w:eastAsia="Times New Roman" w:hAnsi="Times New Roman"/>
          <w:sz w:val="22"/>
          <w:szCs w:val="22"/>
          <w:color w:val="2B2B2B"/>
        </w:rPr>
        <w:t>,</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0C0C0C"/>
        </w:rPr>
        <w:t>each individual who provides services to CAMP4 Therapeutics Corporation (the</w:t>
      </w:r>
      <w:r>
        <w:rPr>
          <w:rFonts w:ascii="Times New Roman" w:cs="Times New Roman" w:eastAsia="Times New Roman" w:hAnsi="Times New Roman"/>
          <w:sz w:val="22"/>
          <w:szCs w:val="22"/>
          <w:color w:val="1C1C1C"/>
        </w:rPr>
        <w:t xml:space="preserve"> </w:t>
      </w:r>
      <w:r>
        <w:rPr>
          <w:rFonts w:ascii="Times New Roman" w:cs="Times New Roman" w:eastAsia="Times New Roman" w:hAnsi="Times New Roman"/>
          <w:sz w:val="22"/>
          <w:szCs w:val="22"/>
          <w:color w:val="0C0C0C"/>
        </w:rPr>
        <w:t>“</w:t>
      </w:r>
      <w:r>
        <w:rPr>
          <w:rFonts w:ascii="Times New Roman" w:cs="Times New Roman" w:eastAsia="Times New Roman" w:hAnsi="Times New Roman"/>
          <w:sz w:val="22"/>
          <w:szCs w:val="22"/>
          <w:u w:val="single" w:color="auto"/>
          <w:color w:val="0C0C0C"/>
        </w:rPr>
        <w:t>Company</w:t>
      </w:r>
      <w:r>
        <w:rPr>
          <w:rFonts w:ascii="Times New Roman" w:cs="Times New Roman" w:eastAsia="Times New Roman" w:hAnsi="Times New Roman"/>
          <w:sz w:val="22"/>
          <w:szCs w:val="22"/>
          <w:color w:val="0C0C0C"/>
        </w:rPr>
        <w:t xml:space="preserve">”) as a member of the Board of Directors (the </w:t>
      </w:r>
      <w:r>
        <w:rPr>
          <w:rFonts w:ascii="Times New Roman" w:cs="Times New Roman" w:eastAsia="Times New Roman" w:hAnsi="Times New Roman"/>
          <w:sz w:val="22"/>
          <w:szCs w:val="22"/>
          <w:color w:val="2B2B2B"/>
        </w:rPr>
        <w:t>"</w:t>
      </w:r>
      <w:r>
        <w:rPr>
          <w:rFonts w:ascii="Times New Roman" w:cs="Times New Roman" w:eastAsia="Times New Roman" w:hAnsi="Times New Roman"/>
          <w:sz w:val="22"/>
          <w:szCs w:val="22"/>
          <w:u w:val="single" w:color="auto"/>
          <w:color w:val="2B2B2B"/>
        </w:rPr>
        <w:t>Board</w:t>
      </w:r>
      <w:r>
        <w:rPr>
          <w:rFonts w:ascii="Times New Roman" w:cs="Times New Roman" w:eastAsia="Times New Roman" w:hAnsi="Times New Roman"/>
          <w:sz w:val="22"/>
          <w:szCs w:val="22"/>
          <w:color w:val="2B2B2B"/>
        </w:rPr>
        <w:t>"),</w:t>
      </w:r>
      <w:r>
        <w:rPr>
          <w:rFonts w:ascii="Times New Roman" w:cs="Times New Roman" w:eastAsia="Times New Roman" w:hAnsi="Times New Roman"/>
          <w:sz w:val="22"/>
          <w:szCs w:val="22"/>
          <w:color w:val="0C0C0C"/>
        </w:rPr>
        <w:t xml:space="preserve"> other than any director who is employed by the Company or one of its </w:t>
      </w:r>
      <w:r>
        <w:rPr>
          <w:rFonts w:ascii="Times New Roman" w:cs="Times New Roman" w:eastAsia="Times New Roman" w:hAnsi="Times New Roman"/>
          <w:sz w:val="22"/>
          <w:szCs w:val="22"/>
          <w:color w:val="1C1C1C"/>
        </w:rPr>
        <w:t>subsidiaries</w:t>
      </w:r>
      <w:r>
        <w:rPr>
          <w:rFonts w:ascii="Times New Roman" w:cs="Times New Roman" w:eastAsia="Times New Roman" w:hAnsi="Times New Roman"/>
          <w:sz w:val="22"/>
          <w:szCs w:val="22"/>
          <w:color w:val="0C0C0C"/>
        </w:rPr>
        <w:t xml:space="preserve"> (a </w:t>
      </w:r>
      <w:r>
        <w:rPr>
          <w:rFonts w:ascii="Times New Roman" w:cs="Times New Roman" w:eastAsia="Times New Roman" w:hAnsi="Times New Roman"/>
          <w:sz w:val="22"/>
          <w:szCs w:val="22"/>
          <w:color w:val="2B2B2B"/>
        </w:rPr>
        <w:t>"</w:t>
      </w:r>
      <w:r>
        <w:rPr>
          <w:rFonts w:ascii="Times New Roman" w:cs="Times New Roman" w:eastAsia="Times New Roman" w:hAnsi="Times New Roman"/>
          <w:sz w:val="22"/>
          <w:szCs w:val="22"/>
          <w:u w:val="single" w:color="auto"/>
          <w:color w:val="2B2B2B"/>
        </w:rPr>
        <w:t>Covered</w:t>
      </w:r>
      <w:r>
        <w:rPr>
          <w:rFonts w:ascii="Times New Roman" w:cs="Times New Roman" w:eastAsia="Times New Roman" w:hAnsi="Times New Roman"/>
          <w:sz w:val="22"/>
          <w:szCs w:val="22"/>
          <w:color w:val="0C0C0C"/>
        </w:rPr>
        <w:t xml:space="preserve"> </w:t>
      </w:r>
      <w:r>
        <w:rPr>
          <w:rFonts w:ascii="Times New Roman" w:cs="Times New Roman" w:eastAsia="Times New Roman" w:hAnsi="Times New Roman"/>
          <w:sz w:val="22"/>
          <w:szCs w:val="22"/>
          <w:u w:val="single" w:color="auto"/>
          <w:color w:val="0C0C0C"/>
        </w:rPr>
        <w:t>Non-Employee Director</w:t>
      </w:r>
      <w:r>
        <w:rPr>
          <w:rFonts w:ascii="Times New Roman" w:cs="Times New Roman" w:eastAsia="Times New Roman" w:hAnsi="Times New Roman"/>
          <w:sz w:val="22"/>
          <w:szCs w:val="22"/>
          <w:color w:val="0C0C0C"/>
        </w:rPr>
        <w:t xml:space="preserve">"), will be entitled to receive the following amounts of compensation, subject to the limitations included in the Company's 2024 </w:t>
      </w:r>
      <w:r>
        <w:rPr>
          <w:rFonts w:ascii="Times New Roman" w:cs="Times New Roman" w:eastAsia="Times New Roman" w:hAnsi="Times New Roman"/>
          <w:sz w:val="22"/>
          <w:szCs w:val="22"/>
          <w:color w:val="1C1C1C"/>
        </w:rPr>
        <w:t>Equity</w:t>
      </w:r>
      <w:r>
        <w:rPr>
          <w:rFonts w:ascii="Times New Roman" w:cs="Times New Roman" w:eastAsia="Times New Roman" w:hAnsi="Times New Roman"/>
          <w:sz w:val="22"/>
          <w:szCs w:val="22"/>
          <w:color w:val="0C0C0C"/>
        </w:rPr>
        <w:t xml:space="preserve"> Incentive Plan:</w:t>
      </w:r>
    </w:p>
    <w:p>
      <w:pPr>
        <w:spacing w:after="0" w:line="292" w:lineRule="exact"/>
        <w:rPr>
          <w:sz w:val="20"/>
          <w:szCs w:val="20"/>
          <w:color w:val="auto"/>
        </w:rPr>
      </w:pPr>
    </w:p>
    <w:tbl>
      <w:tblPr>
        <w:tblLayout w:type="fixed"/>
        <w:tblInd w:w="110" w:type="dxa"/>
        <w:tblCellMar>
          <w:top w:w="0" w:type="dxa"/>
          <w:left w:w="0" w:type="dxa"/>
          <w:bottom w:w="0" w:type="dxa"/>
          <w:right w:w="0" w:type="dxa"/>
        </w:tblCellMar>
      </w:tblPr>
      <w:tr>
        <w:trPr>
          <w:trHeight w:val="349"/>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0C0C0C"/>
              </w:rPr>
              <w:t>Type of Compensation</w:t>
            </w:r>
          </w:p>
        </w:tc>
        <w:tc>
          <w:tcPr>
            <w:tcW w:w="65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0C0C0C"/>
              </w:rPr>
              <w:t>Amount and Form of Payment</w:t>
            </w:r>
          </w:p>
        </w:tc>
        <w:tc>
          <w:tcPr>
            <w:tcW w:w="0" w:type="dxa"/>
            <w:vAlign w:val="bottom"/>
          </w:tcPr>
          <w:p>
            <w:pPr>
              <w:spacing w:after="0"/>
              <w:rPr>
                <w:sz w:val="1"/>
                <w:szCs w:val="1"/>
                <w:color w:val="auto"/>
              </w:rPr>
            </w:pPr>
          </w:p>
        </w:tc>
      </w:tr>
      <w:tr>
        <w:trPr>
          <w:trHeight w:val="28"/>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6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0C0C0C"/>
              </w:rPr>
              <w:t>Annual cash retainer*</w:t>
            </w:r>
          </w:p>
        </w:tc>
        <w:tc>
          <w:tcPr>
            <w:tcW w:w="656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0C0C0C"/>
                <w:w w:val="98"/>
              </w:rPr>
              <w:t>$40,000 (and an additional annual cash retainer of $30,000 for the chair of</w:t>
            </w:r>
          </w:p>
        </w:tc>
        <w:tc>
          <w:tcPr>
            <w:tcW w:w="0" w:type="dxa"/>
            <w:vAlign w:val="bottom"/>
          </w:tcPr>
          <w:p>
            <w:pPr>
              <w:spacing w:after="0"/>
              <w:rPr>
                <w:sz w:val="1"/>
                <w:szCs w:val="1"/>
                <w:color w:val="auto"/>
              </w:rPr>
            </w:pPr>
          </w:p>
        </w:tc>
      </w:tr>
      <w:tr>
        <w:trPr>
          <w:trHeight w:val="201"/>
        </w:trPr>
        <w:tc>
          <w:tcPr>
            <w:tcW w:w="4200" w:type="dxa"/>
            <w:vAlign w:val="bottom"/>
            <w:tcBorders>
              <w:left w:val="single" w:sz="8" w:color="auto"/>
              <w:right w:val="single" w:sz="8" w:color="auto"/>
            </w:tcBorders>
            <w:vMerge w:val="continue"/>
          </w:tcPr>
          <w:p>
            <w:pPr>
              <w:spacing w:after="0"/>
              <w:rPr>
                <w:sz w:val="17"/>
                <w:szCs w:val="17"/>
                <w:color w:val="auto"/>
              </w:rPr>
            </w:pPr>
          </w:p>
        </w:tc>
        <w:tc>
          <w:tcPr>
            <w:tcW w:w="6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0C0C0C"/>
              </w:rPr>
              <w:t>the Board)</w:t>
            </w:r>
          </w:p>
        </w:tc>
        <w:tc>
          <w:tcPr>
            <w:tcW w:w="0" w:type="dxa"/>
            <w:vAlign w:val="bottom"/>
          </w:tcPr>
          <w:p>
            <w:pPr>
              <w:spacing w:after="0"/>
              <w:rPr>
                <w:sz w:val="1"/>
                <w:szCs w:val="1"/>
                <w:color w:val="auto"/>
              </w:rPr>
            </w:pPr>
          </w:p>
        </w:tc>
      </w:tr>
      <w:tr>
        <w:trPr>
          <w:trHeight w:val="90"/>
        </w:trPr>
        <w:tc>
          <w:tcPr>
            <w:tcW w:w="4200" w:type="dxa"/>
            <w:vAlign w:val="bottom"/>
            <w:tcBorders>
              <w:left w:val="single" w:sz="8" w:color="auto"/>
              <w:bottom w:val="single" w:sz="8" w:color="auto"/>
              <w:right w:val="single" w:sz="8" w:color="auto"/>
            </w:tcBorders>
          </w:tcPr>
          <w:p>
            <w:pPr>
              <w:spacing w:after="0"/>
              <w:rPr>
                <w:sz w:val="7"/>
                <w:szCs w:val="7"/>
                <w:color w:val="auto"/>
              </w:rPr>
            </w:pPr>
          </w:p>
        </w:tc>
        <w:tc>
          <w:tcPr>
            <w:tcW w:w="65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200" w:type="dxa"/>
            <w:vAlign w:val="bottom"/>
            <w:tcBorders>
              <w:left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0C0C0C"/>
              </w:rPr>
              <w:t>Additional annual cash retainer for</w:t>
            </w:r>
          </w:p>
        </w:tc>
        <w:tc>
          <w:tcPr>
            <w:tcW w:w="656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0C0C0C"/>
              </w:rPr>
              <w:t>$7,500 ($15,000 for the chair of the Audit</w:t>
            </w:r>
          </w:p>
        </w:tc>
        <w:tc>
          <w:tcPr>
            <w:tcW w:w="0" w:type="dxa"/>
            <w:vAlign w:val="bottom"/>
          </w:tcPr>
          <w:p>
            <w:pPr>
              <w:spacing w:after="0"/>
              <w:rPr>
                <w:sz w:val="1"/>
                <w:szCs w:val="1"/>
                <w:color w:val="auto"/>
              </w:rPr>
            </w:pPr>
          </w:p>
        </w:tc>
      </w:tr>
      <w:tr>
        <w:trPr>
          <w:trHeight w:val="282"/>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members of the Audit Committee</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0C0C0C"/>
              </w:rPr>
              <w:t>Committee)</w:t>
            </w:r>
          </w:p>
        </w:tc>
        <w:tc>
          <w:tcPr>
            <w:tcW w:w="0" w:type="dxa"/>
            <w:vAlign w:val="bottom"/>
          </w:tcPr>
          <w:p>
            <w:pPr>
              <w:spacing w:after="0"/>
              <w:rPr>
                <w:sz w:val="1"/>
                <w:szCs w:val="1"/>
                <w:color w:val="auto"/>
              </w:rPr>
            </w:pPr>
          </w:p>
        </w:tc>
      </w:tr>
      <w:tr>
        <w:trPr>
          <w:trHeight w:val="28"/>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6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Additional annual cash retainer for members</w:t>
            </w:r>
          </w:p>
        </w:tc>
        <w:tc>
          <w:tcPr>
            <w:tcW w:w="6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0C0C0C"/>
              </w:rPr>
              <w:t>$7,500 ($15,000 for the chair of the Compensation Committee)</w:t>
            </w:r>
          </w:p>
        </w:tc>
        <w:tc>
          <w:tcPr>
            <w:tcW w:w="0" w:type="dxa"/>
            <w:vAlign w:val="bottom"/>
          </w:tcPr>
          <w:p>
            <w:pPr>
              <w:spacing w:after="0"/>
              <w:rPr>
                <w:sz w:val="1"/>
                <w:szCs w:val="1"/>
                <w:color w:val="auto"/>
              </w:rPr>
            </w:pPr>
          </w:p>
        </w:tc>
      </w:tr>
      <w:tr>
        <w:trPr>
          <w:trHeight w:val="134"/>
        </w:trPr>
        <w:tc>
          <w:tcPr>
            <w:tcW w:w="4200" w:type="dxa"/>
            <w:vAlign w:val="bottom"/>
            <w:tcBorders>
              <w:left w:val="single" w:sz="8" w:color="auto"/>
              <w:right w:val="single" w:sz="8" w:color="auto"/>
            </w:tcBorders>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0C0C0C"/>
              </w:rPr>
              <w:t>of the Compensation</w:t>
            </w:r>
          </w:p>
        </w:tc>
        <w:tc>
          <w:tcPr>
            <w:tcW w:w="65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200" w:type="dxa"/>
            <w:vAlign w:val="bottom"/>
            <w:tcBorders>
              <w:left w:val="single" w:sz="8" w:color="auto"/>
              <w:right w:val="single" w:sz="8" w:color="auto"/>
            </w:tcBorders>
            <w:vMerge w:val="continue"/>
          </w:tcPr>
          <w:p>
            <w:pPr>
              <w:spacing w:after="0"/>
              <w:rPr>
                <w:sz w:val="9"/>
                <w:szCs w:val="9"/>
                <w:color w:val="auto"/>
              </w:rPr>
            </w:pPr>
          </w:p>
        </w:tc>
        <w:tc>
          <w:tcPr>
            <w:tcW w:w="6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4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Committee</w:t>
            </w:r>
          </w:p>
        </w:tc>
        <w:tc>
          <w:tcPr>
            <w:tcW w:w="6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Additional annual cash retainer for members</w:t>
            </w:r>
          </w:p>
        </w:tc>
        <w:tc>
          <w:tcPr>
            <w:tcW w:w="6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0C0C0C"/>
              </w:rPr>
              <w:t>$7,500 ($15,000 for the chair of the NCG Committee)</w:t>
            </w:r>
          </w:p>
        </w:tc>
        <w:tc>
          <w:tcPr>
            <w:tcW w:w="0" w:type="dxa"/>
            <w:vAlign w:val="bottom"/>
          </w:tcPr>
          <w:p>
            <w:pPr>
              <w:spacing w:after="0"/>
              <w:rPr>
                <w:sz w:val="1"/>
                <w:szCs w:val="1"/>
                <w:color w:val="auto"/>
              </w:rPr>
            </w:pPr>
          </w:p>
        </w:tc>
      </w:tr>
      <w:tr>
        <w:trPr>
          <w:trHeight w:val="256"/>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of the Nominating and Corporate Governance</w:t>
            </w:r>
          </w:p>
        </w:tc>
        <w:tc>
          <w:tcPr>
            <w:tcW w:w="656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0" w:type="dxa"/>
            <w:vAlign w:val="bottom"/>
            <w:tcBorders>
              <w:left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0C0C0C"/>
              </w:rPr>
              <w:t>("NCG")</w:t>
            </w:r>
          </w:p>
        </w:tc>
        <w:tc>
          <w:tcPr>
            <w:tcW w:w="6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Committee</w:t>
            </w:r>
          </w:p>
        </w:tc>
        <w:tc>
          <w:tcPr>
            <w:tcW w:w="6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Borders>
              <w:left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0C0C0C"/>
              </w:rPr>
              <w:t>Additional annual cash retainer for</w:t>
            </w:r>
          </w:p>
        </w:tc>
        <w:tc>
          <w:tcPr>
            <w:tcW w:w="6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0C0C0C"/>
              </w:rPr>
              <w:t>$7,500 ($15,000 for the chair of the R&amp;D Committee)</w:t>
            </w:r>
          </w:p>
        </w:tc>
        <w:tc>
          <w:tcPr>
            <w:tcW w:w="0" w:type="dxa"/>
            <w:vAlign w:val="bottom"/>
          </w:tcPr>
          <w:p>
            <w:pPr>
              <w:spacing w:after="0"/>
              <w:rPr>
                <w:sz w:val="1"/>
                <w:szCs w:val="1"/>
                <w:color w:val="auto"/>
              </w:rPr>
            </w:pPr>
          </w:p>
        </w:tc>
      </w:tr>
      <w:tr>
        <w:trPr>
          <w:trHeight w:val="161"/>
        </w:trPr>
        <w:tc>
          <w:tcPr>
            <w:tcW w:w="42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0C0C0C"/>
              </w:rPr>
              <w:t>members of the Research and Development</w:t>
            </w:r>
          </w:p>
        </w:tc>
        <w:tc>
          <w:tcPr>
            <w:tcW w:w="6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200" w:type="dxa"/>
            <w:vAlign w:val="bottom"/>
            <w:tcBorders>
              <w:left w:val="single" w:sz="8" w:color="auto"/>
              <w:right w:val="single" w:sz="8" w:color="auto"/>
            </w:tcBorders>
            <w:vMerge w:val="continue"/>
          </w:tcPr>
          <w:p>
            <w:pPr>
              <w:spacing w:after="0"/>
              <w:rPr>
                <w:sz w:val="10"/>
                <w:szCs w:val="10"/>
                <w:color w:val="auto"/>
              </w:rPr>
            </w:pPr>
          </w:p>
        </w:tc>
        <w:tc>
          <w:tcPr>
            <w:tcW w:w="6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("R&amp;D") Committee</w:t>
            </w:r>
          </w:p>
        </w:tc>
        <w:tc>
          <w:tcPr>
            <w:tcW w:w="6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200" w:type="dxa"/>
            <w:vAlign w:val="bottom"/>
            <w:tcBorders>
              <w:left w:val="single" w:sz="8" w:color="auto"/>
              <w:bottom w:val="single" w:sz="8" w:color="auto"/>
              <w:right w:val="single" w:sz="8" w:color="auto"/>
            </w:tcBorders>
          </w:tcPr>
          <w:p>
            <w:pPr>
              <w:spacing w:after="0"/>
              <w:rPr>
                <w:sz w:val="3"/>
                <w:szCs w:val="3"/>
                <w:color w:val="auto"/>
              </w:rPr>
            </w:pPr>
          </w:p>
        </w:tc>
        <w:tc>
          <w:tcPr>
            <w:tcW w:w="6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Initial equity retainer</w:t>
            </w: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1C1C1C"/>
              </w:rPr>
              <w:t xml:space="preserve">Each </w:t>
            </w:r>
            <w:r>
              <w:rPr>
                <w:rFonts w:ascii="Times New Roman" w:cs="Times New Roman" w:eastAsia="Times New Roman" w:hAnsi="Times New Roman"/>
                <w:sz w:val="22"/>
                <w:szCs w:val="22"/>
                <w:color w:val="0C0C0C"/>
              </w:rPr>
              <w:t>Covered Non-Employee Director who is first elected to the Board</w:t>
            </w:r>
          </w:p>
        </w:tc>
        <w:tc>
          <w:tcPr>
            <w:tcW w:w="0" w:type="dxa"/>
            <w:vAlign w:val="bottom"/>
          </w:tcPr>
          <w:p>
            <w:pPr>
              <w:spacing w:after="0"/>
              <w:rPr>
                <w:sz w:val="1"/>
                <w:szCs w:val="1"/>
                <w:color w:val="auto"/>
              </w:rPr>
            </w:pPr>
          </w:p>
        </w:tc>
      </w:tr>
      <w:tr>
        <w:trPr>
          <w:trHeight w:val="270"/>
        </w:trPr>
        <w:tc>
          <w:tcPr>
            <w:tcW w:w="4200" w:type="dxa"/>
            <w:vAlign w:val="bottom"/>
            <w:tcBorders>
              <w:left w:val="single" w:sz="8" w:color="auto"/>
              <w:right w:val="single" w:sz="8" w:color="auto"/>
            </w:tcBorders>
          </w:tcPr>
          <w:p>
            <w:pPr>
              <w:spacing w:after="0"/>
              <w:rPr>
                <w:sz w:val="23"/>
                <w:szCs w:val="23"/>
                <w:color w:val="auto"/>
              </w:rPr>
            </w:pP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0C0C0C"/>
              </w:rPr>
              <w:t>will, upon his or her initial election to the Board, be granted 56,000 stock</w:t>
            </w:r>
          </w:p>
        </w:tc>
        <w:tc>
          <w:tcPr>
            <w:tcW w:w="0" w:type="dxa"/>
            <w:vAlign w:val="bottom"/>
          </w:tcPr>
          <w:p>
            <w:pPr>
              <w:spacing w:after="0"/>
              <w:rPr>
                <w:sz w:val="1"/>
                <w:szCs w:val="1"/>
                <w:color w:val="auto"/>
              </w:rPr>
            </w:pPr>
          </w:p>
        </w:tc>
      </w:tr>
      <w:tr>
        <w:trPr>
          <w:trHeight w:val="256"/>
        </w:trPr>
        <w:tc>
          <w:tcPr>
            <w:tcW w:w="4200" w:type="dxa"/>
            <w:vAlign w:val="bottom"/>
            <w:tcBorders>
              <w:left w:val="single" w:sz="8" w:color="auto"/>
              <w:right w:val="single" w:sz="8" w:color="auto"/>
            </w:tcBorders>
          </w:tcPr>
          <w:p>
            <w:pPr>
              <w:spacing w:after="0"/>
              <w:rPr>
                <w:sz w:val="22"/>
                <w:szCs w:val="22"/>
                <w:color w:val="auto"/>
              </w:rPr>
            </w:pP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0C0C0C"/>
              </w:rPr>
              <w:t xml:space="preserve">options, such stock options to </w:t>
            </w:r>
            <w:r>
              <w:rPr>
                <w:rFonts w:ascii="Times New Roman" w:cs="Times New Roman" w:eastAsia="Times New Roman" w:hAnsi="Times New Roman"/>
                <w:sz w:val="22"/>
                <w:szCs w:val="22"/>
                <w:color w:val="1C1C1C"/>
              </w:rPr>
              <w:t>vest</w:t>
            </w:r>
            <w:r>
              <w:rPr>
                <w:rFonts w:ascii="Times New Roman" w:cs="Times New Roman" w:eastAsia="Times New Roman" w:hAnsi="Times New Roman"/>
                <w:sz w:val="22"/>
                <w:szCs w:val="22"/>
                <w:color w:val="0C0C0C"/>
              </w:rPr>
              <w:t xml:space="preserve"> in equal monthly installments over a</w:t>
            </w:r>
          </w:p>
        </w:tc>
        <w:tc>
          <w:tcPr>
            <w:tcW w:w="0" w:type="dxa"/>
            <w:vAlign w:val="bottom"/>
          </w:tcPr>
          <w:p>
            <w:pPr>
              <w:spacing w:after="0"/>
              <w:rPr>
                <w:sz w:val="1"/>
                <w:szCs w:val="1"/>
                <w:color w:val="auto"/>
              </w:rPr>
            </w:pPr>
          </w:p>
        </w:tc>
      </w:tr>
      <w:tr>
        <w:trPr>
          <w:trHeight w:val="270"/>
        </w:trPr>
        <w:tc>
          <w:tcPr>
            <w:tcW w:w="4200" w:type="dxa"/>
            <w:vAlign w:val="bottom"/>
            <w:tcBorders>
              <w:left w:val="single" w:sz="8" w:color="auto"/>
              <w:right w:val="single" w:sz="8" w:color="auto"/>
            </w:tcBorders>
          </w:tcPr>
          <w:p>
            <w:pPr>
              <w:spacing w:after="0"/>
              <w:rPr>
                <w:sz w:val="23"/>
                <w:szCs w:val="23"/>
                <w:color w:val="auto"/>
              </w:rPr>
            </w:pP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0C0C0C"/>
              </w:rPr>
              <w:t>period of three years commencing from the date of grant, subject to the</w:t>
            </w:r>
          </w:p>
        </w:tc>
        <w:tc>
          <w:tcPr>
            <w:tcW w:w="0" w:type="dxa"/>
            <w:vAlign w:val="bottom"/>
          </w:tcPr>
          <w:p>
            <w:pPr>
              <w:spacing w:after="0"/>
              <w:rPr>
                <w:sz w:val="1"/>
                <w:szCs w:val="1"/>
                <w:color w:val="auto"/>
              </w:rPr>
            </w:pPr>
          </w:p>
        </w:tc>
      </w:tr>
      <w:tr>
        <w:trPr>
          <w:trHeight w:val="257"/>
        </w:trPr>
        <w:tc>
          <w:tcPr>
            <w:tcW w:w="4200" w:type="dxa"/>
            <w:vAlign w:val="bottom"/>
            <w:tcBorders>
              <w:left w:val="single" w:sz="8" w:color="auto"/>
              <w:right w:val="single" w:sz="8" w:color="auto"/>
            </w:tcBorders>
          </w:tcPr>
          <w:p>
            <w:pPr>
              <w:spacing w:after="0"/>
              <w:rPr>
                <w:sz w:val="22"/>
                <w:szCs w:val="22"/>
                <w:color w:val="auto"/>
              </w:rPr>
            </w:pP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0C0C0C"/>
                <w:w w:val="98"/>
              </w:rPr>
              <w:t>Covered Non-Employee Director's continued service to the Board through</w:t>
            </w:r>
          </w:p>
        </w:tc>
        <w:tc>
          <w:tcPr>
            <w:tcW w:w="0" w:type="dxa"/>
            <w:vAlign w:val="bottom"/>
          </w:tcPr>
          <w:p>
            <w:pPr>
              <w:spacing w:after="0"/>
              <w:rPr>
                <w:sz w:val="1"/>
                <w:szCs w:val="1"/>
                <w:color w:val="auto"/>
              </w:rPr>
            </w:pPr>
          </w:p>
        </w:tc>
      </w:tr>
      <w:tr>
        <w:trPr>
          <w:trHeight w:val="282"/>
        </w:trPr>
        <w:tc>
          <w:tcPr>
            <w:tcW w:w="4200" w:type="dxa"/>
            <w:vAlign w:val="bottom"/>
            <w:tcBorders>
              <w:left w:val="single" w:sz="8" w:color="auto"/>
              <w:right w:val="single" w:sz="8" w:color="auto"/>
            </w:tcBorders>
          </w:tcPr>
          <w:p>
            <w:pPr>
              <w:spacing w:after="0"/>
              <w:rPr>
                <w:sz w:val="24"/>
                <w:szCs w:val="24"/>
                <w:color w:val="auto"/>
              </w:rPr>
            </w:pPr>
          </w:p>
        </w:tc>
        <w:tc>
          <w:tcPr>
            <w:tcW w:w="6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0C0C0C"/>
              </w:rPr>
              <w:t>the applicable vesting date.</w:t>
            </w:r>
          </w:p>
        </w:tc>
        <w:tc>
          <w:tcPr>
            <w:tcW w:w="0" w:type="dxa"/>
            <w:vAlign w:val="bottom"/>
          </w:tcPr>
          <w:p>
            <w:pPr>
              <w:spacing w:after="0"/>
              <w:rPr>
                <w:sz w:val="1"/>
                <w:szCs w:val="1"/>
                <w:color w:val="auto"/>
              </w:rPr>
            </w:pPr>
          </w:p>
        </w:tc>
      </w:tr>
      <w:tr>
        <w:trPr>
          <w:trHeight w:val="28"/>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6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440" w:top="581" w:right="339" w:bottom="1440" w:gutter="0" w:footer="0" w:header="0"/>
        </w:sectPr>
      </w:pPr>
    </w:p>
    <w:bookmarkStart w:id="37" w:name="page38"/>
    <w:bookmarkEnd w:id="37"/>
    <w:p>
      <w:pPr>
        <w:spacing w:after="0" w:line="3"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4200" w:type="dxa"/>
            <w:vAlign w:val="bottom"/>
            <w:tcBorders>
              <w:top w:val="single" w:sz="8" w:color="auto"/>
              <w:left w:val="single" w:sz="8" w:color="auto"/>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0C0C0C"/>
              </w:rPr>
              <w:t>Annual equity retainer</w:t>
            </w:r>
          </w:p>
        </w:tc>
        <w:tc>
          <w:tcPr>
            <w:tcW w:w="6560" w:type="dxa"/>
            <w:vAlign w:val="bottom"/>
            <w:tcBorders>
              <w:top w:val="single" w:sz="8" w:color="auto"/>
              <w:right w:val="single" w:sz="8" w:color="auto"/>
            </w:tcBorders>
          </w:tcPr>
          <w:p>
            <w:pPr>
              <w:spacing w:after="0" w:line="229" w:lineRule="exact"/>
              <w:rPr>
                <w:sz w:val="20"/>
                <w:szCs w:val="20"/>
                <w:color w:val="auto"/>
              </w:rPr>
            </w:pPr>
            <w:r>
              <w:rPr>
                <w:rFonts w:ascii="Times New Roman" w:cs="Times New Roman" w:eastAsia="Times New Roman" w:hAnsi="Times New Roman"/>
                <w:sz w:val="22"/>
                <w:szCs w:val="22"/>
                <w:color w:val="0C0C0C"/>
                <w:w w:val="99"/>
              </w:rPr>
              <w:t>On the date of the first meeting of the Board following the annual meeting</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656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0C0C0C"/>
              </w:rPr>
              <w:t>of stockholders of the Company, each Covered Non­</w:t>
            </w:r>
            <w:r>
              <w:rPr>
                <w:rFonts w:ascii="Times New Roman" w:cs="Times New Roman" w:eastAsia="Times New Roman" w:hAnsi="Times New Roman"/>
                <w:sz w:val="22"/>
                <w:szCs w:val="22"/>
                <w:color w:val="1C1C1C"/>
              </w:rPr>
              <w:t>Employee</w:t>
            </w:r>
            <w:r>
              <w:rPr>
                <w:rFonts w:ascii="Times New Roman" w:cs="Times New Roman" w:eastAsia="Times New Roman" w:hAnsi="Times New Roman"/>
                <w:sz w:val="22"/>
                <w:szCs w:val="22"/>
                <w:color w:val="0C0C0C"/>
              </w:rPr>
              <w:t xml:space="preserve"> Director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6560" w:type="dxa"/>
            <w:vAlign w:val="bottom"/>
            <w:tcBorders>
              <w:right w:val="single" w:sz="8" w:color="auto"/>
            </w:tcBorders>
          </w:tcPr>
          <w:p>
            <w:pPr>
              <w:spacing w:after="0" w:line="217" w:lineRule="exact"/>
              <w:rPr>
                <w:sz w:val="20"/>
                <w:szCs w:val="20"/>
                <w:color w:val="auto"/>
              </w:rPr>
            </w:pPr>
            <w:r>
              <w:rPr>
                <w:rFonts w:ascii="Times New Roman" w:cs="Times New Roman" w:eastAsia="Times New Roman" w:hAnsi="Times New Roman"/>
                <w:sz w:val="22"/>
                <w:szCs w:val="22"/>
                <w:color w:val="0C0C0C"/>
              </w:rPr>
              <w:t>who is not first elected or appointed to the Board during the fiscal year of</w:t>
            </w:r>
          </w:p>
        </w:tc>
      </w:tr>
      <w:tr>
        <w:trPr>
          <w:trHeight w:val="229"/>
        </w:trPr>
        <w:tc>
          <w:tcPr>
            <w:tcW w:w="4200" w:type="dxa"/>
            <w:vAlign w:val="bottom"/>
            <w:tcBorders>
              <w:left w:val="single" w:sz="8" w:color="auto"/>
              <w:right w:val="single" w:sz="8" w:color="auto"/>
            </w:tcBorders>
          </w:tcPr>
          <w:p>
            <w:pPr>
              <w:spacing w:after="0"/>
              <w:rPr>
                <w:sz w:val="19"/>
                <w:szCs w:val="19"/>
                <w:color w:val="auto"/>
              </w:rPr>
            </w:pPr>
          </w:p>
        </w:tc>
        <w:tc>
          <w:tcPr>
            <w:tcW w:w="6560" w:type="dxa"/>
            <w:vAlign w:val="bottom"/>
            <w:tcBorders>
              <w:right w:val="single" w:sz="8" w:color="auto"/>
            </w:tcBorders>
          </w:tcPr>
          <w:p>
            <w:pPr>
              <w:spacing w:after="0" w:line="229" w:lineRule="exact"/>
              <w:rPr>
                <w:sz w:val="20"/>
                <w:szCs w:val="20"/>
                <w:color w:val="auto"/>
              </w:rPr>
            </w:pPr>
            <w:r>
              <w:rPr>
                <w:rFonts w:ascii="Times New Roman" w:cs="Times New Roman" w:eastAsia="Times New Roman" w:hAnsi="Times New Roman"/>
                <w:sz w:val="22"/>
                <w:szCs w:val="22"/>
                <w:color w:val="0C0C0C"/>
              </w:rPr>
              <w:t>such meeting (including, for the avoidance of doubt, at the time of the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6560" w:type="dxa"/>
            <w:vAlign w:val="bottom"/>
            <w:tcBorders>
              <w:right w:val="single" w:sz="8" w:color="auto"/>
            </w:tcBorders>
          </w:tcPr>
          <w:p>
            <w:pPr>
              <w:spacing w:after="0" w:line="217" w:lineRule="exact"/>
              <w:rPr>
                <w:sz w:val="20"/>
                <w:szCs w:val="20"/>
                <w:color w:val="auto"/>
              </w:rPr>
            </w:pPr>
            <w:r>
              <w:rPr>
                <w:rFonts w:ascii="Times New Roman" w:cs="Times New Roman" w:eastAsia="Times New Roman" w:hAnsi="Times New Roman"/>
                <w:sz w:val="22"/>
                <w:szCs w:val="22"/>
                <w:color w:val="0C0C0C"/>
              </w:rPr>
              <w:t>annual meeting) shall be granted 28,000 stock options, such stock options</w:t>
            </w:r>
          </w:p>
        </w:tc>
      </w:tr>
      <w:tr>
        <w:trPr>
          <w:trHeight w:val="229"/>
        </w:trPr>
        <w:tc>
          <w:tcPr>
            <w:tcW w:w="4200" w:type="dxa"/>
            <w:vAlign w:val="bottom"/>
            <w:tcBorders>
              <w:left w:val="single" w:sz="8" w:color="auto"/>
              <w:right w:val="single" w:sz="8" w:color="auto"/>
            </w:tcBorders>
          </w:tcPr>
          <w:p>
            <w:pPr>
              <w:spacing w:after="0"/>
              <w:rPr>
                <w:sz w:val="19"/>
                <w:szCs w:val="19"/>
                <w:color w:val="auto"/>
              </w:rPr>
            </w:pPr>
          </w:p>
        </w:tc>
        <w:tc>
          <w:tcPr>
            <w:tcW w:w="6560" w:type="dxa"/>
            <w:vAlign w:val="bottom"/>
            <w:tcBorders>
              <w:right w:val="single" w:sz="8" w:color="auto"/>
            </w:tcBorders>
          </w:tcPr>
          <w:p>
            <w:pPr>
              <w:spacing w:after="0" w:line="229" w:lineRule="exact"/>
              <w:rPr>
                <w:sz w:val="20"/>
                <w:szCs w:val="20"/>
                <w:color w:val="auto"/>
              </w:rPr>
            </w:pPr>
            <w:r>
              <w:rPr>
                <w:rFonts w:ascii="Times New Roman" w:cs="Times New Roman" w:eastAsia="Times New Roman" w:hAnsi="Times New Roman"/>
                <w:sz w:val="22"/>
                <w:szCs w:val="22"/>
                <w:color w:val="0C0C0C"/>
                <w:w w:val="99"/>
              </w:rPr>
              <w:t xml:space="preserve">to vest on the earlier of the one-year anniversary of the date of </w:t>
            </w:r>
            <w:r>
              <w:rPr>
                <w:rFonts w:ascii="Times New Roman" w:cs="Times New Roman" w:eastAsia="Times New Roman" w:hAnsi="Times New Roman"/>
                <w:sz w:val="22"/>
                <w:szCs w:val="22"/>
                <w:color w:val="0E0E0E"/>
                <w:w w:val="99"/>
              </w:rPr>
              <w:t>grant or the</w:t>
            </w:r>
          </w:p>
        </w:tc>
      </w:tr>
      <w:tr>
        <w:trPr>
          <w:trHeight w:val="243"/>
        </w:trPr>
        <w:tc>
          <w:tcPr>
            <w:tcW w:w="4200" w:type="dxa"/>
            <w:vAlign w:val="bottom"/>
            <w:tcBorders>
              <w:left w:val="single" w:sz="8" w:color="auto"/>
              <w:right w:val="single" w:sz="8" w:color="auto"/>
            </w:tcBorders>
          </w:tcPr>
          <w:p>
            <w:pPr>
              <w:spacing w:after="0"/>
              <w:rPr>
                <w:sz w:val="21"/>
                <w:szCs w:val="21"/>
                <w:color w:val="auto"/>
              </w:rPr>
            </w:pPr>
          </w:p>
        </w:tc>
        <w:tc>
          <w:tcPr>
            <w:tcW w:w="65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0E0E0E"/>
              </w:rPr>
              <w:t>date of the next annual meeting of</w:t>
            </w:r>
          </w:p>
        </w:tc>
      </w:tr>
      <w:tr>
        <w:trPr>
          <w:trHeight w:val="257"/>
        </w:trPr>
        <w:tc>
          <w:tcPr>
            <w:tcW w:w="4200" w:type="dxa"/>
            <w:vAlign w:val="bottom"/>
            <w:tcBorders>
              <w:left w:val="single" w:sz="8" w:color="auto"/>
              <w:right w:val="single" w:sz="8" w:color="auto"/>
            </w:tcBorders>
          </w:tcPr>
          <w:p>
            <w:pPr>
              <w:spacing w:after="0"/>
              <w:rPr>
                <w:sz w:val="22"/>
                <w:szCs w:val="22"/>
                <w:color w:val="auto"/>
              </w:rPr>
            </w:pPr>
          </w:p>
        </w:tc>
        <w:tc>
          <w:tcPr>
            <w:tcW w:w="6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0E0E0E"/>
              </w:rPr>
              <w:t>stockholders of the Company, subject to the Covered Non-Employee</w:t>
            </w:r>
          </w:p>
        </w:tc>
      </w:tr>
      <w:tr>
        <w:trPr>
          <w:trHeight w:val="270"/>
        </w:trPr>
        <w:tc>
          <w:tcPr>
            <w:tcW w:w="4200" w:type="dxa"/>
            <w:vAlign w:val="bottom"/>
            <w:tcBorders>
              <w:left w:val="single" w:sz="8" w:color="auto"/>
              <w:right w:val="single" w:sz="8" w:color="auto"/>
            </w:tcBorders>
          </w:tcPr>
          <w:p>
            <w:pPr>
              <w:spacing w:after="0"/>
              <w:rPr>
                <w:sz w:val="23"/>
                <w:szCs w:val="23"/>
                <w:color w:val="auto"/>
              </w:rPr>
            </w:pPr>
          </w:p>
        </w:tc>
        <w:tc>
          <w:tcPr>
            <w:tcW w:w="6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0E0E0E"/>
              </w:rPr>
              <w:t>Director's continued service to the Board through the applicable vesting</w:t>
            </w:r>
          </w:p>
        </w:tc>
      </w:tr>
      <w:tr>
        <w:trPr>
          <w:trHeight w:val="257"/>
        </w:trPr>
        <w:tc>
          <w:tcPr>
            <w:tcW w:w="4200" w:type="dxa"/>
            <w:vAlign w:val="bottom"/>
            <w:tcBorders>
              <w:left w:val="single" w:sz="8" w:color="auto"/>
              <w:right w:val="single" w:sz="8" w:color="auto"/>
            </w:tcBorders>
          </w:tcPr>
          <w:p>
            <w:pPr>
              <w:spacing w:after="0"/>
              <w:rPr>
                <w:sz w:val="22"/>
                <w:szCs w:val="22"/>
                <w:color w:val="auto"/>
              </w:rPr>
            </w:pPr>
          </w:p>
        </w:tc>
        <w:tc>
          <w:tcPr>
            <w:tcW w:w="6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0E0E0E"/>
              </w:rPr>
              <w:t>date. For the avoidance of doubt, in no event shall a Covered Non-­</w:t>
            </w:r>
          </w:p>
        </w:tc>
      </w:tr>
      <w:tr>
        <w:trPr>
          <w:trHeight w:val="257"/>
        </w:trPr>
        <w:tc>
          <w:tcPr>
            <w:tcW w:w="4200" w:type="dxa"/>
            <w:vAlign w:val="bottom"/>
            <w:tcBorders>
              <w:left w:val="single" w:sz="8" w:color="auto"/>
              <w:right w:val="single" w:sz="8" w:color="auto"/>
            </w:tcBorders>
          </w:tcPr>
          <w:p>
            <w:pPr>
              <w:spacing w:after="0"/>
              <w:rPr>
                <w:sz w:val="22"/>
                <w:szCs w:val="22"/>
                <w:color w:val="auto"/>
              </w:rPr>
            </w:pPr>
          </w:p>
        </w:tc>
        <w:tc>
          <w:tcPr>
            <w:tcW w:w="6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0E0E0E"/>
              </w:rPr>
              <w:t>Employee Director receive both an initial equity award and an annual</w:t>
            </w:r>
          </w:p>
        </w:tc>
      </w:tr>
      <w:tr>
        <w:trPr>
          <w:trHeight w:val="291"/>
        </w:trPr>
        <w:tc>
          <w:tcPr>
            <w:tcW w:w="4200" w:type="dxa"/>
            <w:vAlign w:val="bottom"/>
            <w:tcBorders>
              <w:left w:val="single" w:sz="8" w:color="auto"/>
              <w:bottom w:val="single" w:sz="8" w:color="auto"/>
              <w:right w:val="single" w:sz="8" w:color="auto"/>
            </w:tcBorders>
          </w:tcPr>
          <w:p>
            <w:pPr>
              <w:spacing w:after="0"/>
              <w:rPr>
                <w:sz w:val="24"/>
                <w:szCs w:val="24"/>
                <w:color w:val="auto"/>
              </w:rPr>
            </w:pPr>
          </w:p>
        </w:tc>
        <w:tc>
          <w:tcPr>
            <w:tcW w:w="6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0E0E0E"/>
              </w:rPr>
              <w:t>equity award in their first calendar year of service on the Board.</w:t>
            </w:r>
          </w:p>
        </w:tc>
      </w:tr>
      <w:tr>
        <w:trPr>
          <w:trHeight w:val="216"/>
        </w:trPr>
        <w:tc>
          <w:tcPr>
            <w:tcW w:w="42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0E0E0E"/>
              </w:rPr>
              <w:t>Additional equity terms</w:t>
            </w:r>
          </w:p>
        </w:tc>
        <w:tc>
          <w:tcPr>
            <w:tcW w:w="656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0E0E0E"/>
              </w:rPr>
              <w:t>Each stock option grant will be subject to the terms and conditions of the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656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0E0E0E"/>
              </w:rPr>
              <w:t>Company's 2024 Equity Incentive Plan (or any successor plan), including</w:t>
            </w:r>
          </w:p>
        </w:tc>
      </w:tr>
      <w:tr>
        <w:trPr>
          <w:trHeight w:val="291"/>
        </w:trPr>
        <w:tc>
          <w:tcPr>
            <w:tcW w:w="4200" w:type="dxa"/>
            <w:vAlign w:val="bottom"/>
            <w:tcBorders>
              <w:left w:val="single" w:sz="8" w:color="auto"/>
              <w:bottom w:val="single" w:sz="8" w:color="auto"/>
              <w:right w:val="single" w:sz="8" w:color="auto"/>
            </w:tcBorders>
          </w:tcPr>
          <w:p>
            <w:pPr>
              <w:spacing w:after="0"/>
              <w:rPr>
                <w:sz w:val="24"/>
                <w:szCs w:val="24"/>
                <w:color w:val="auto"/>
              </w:rPr>
            </w:pPr>
          </w:p>
        </w:tc>
        <w:tc>
          <w:tcPr>
            <w:tcW w:w="6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0E0E0E"/>
              </w:rPr>
              <w:t>any individual limits contained therein.</w:t>
            </w:r>
          </w:p>
        </w:tc>
      </w:tr>
      <w:tr>
        <w:trPr>
          <w:trHeight w:val="216"/>
        </w:trPr>
        <w:tc>
          <w:tcPr>
            <w:tcW w:w="42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2"/>
                <w:szCs w:val="22"/>
                <w:color w:val="0E0E0E"/>
              </w:rPr>
              <w:t>Approval</w:t>
            </w:r>
          </w:p>
        </w:tc>
        <w:tc>
          <w:tcPr>
            <w:tcW w:w="656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0E0E0E"/>
              </w:rPr>
              <w:t>The Board or the Compensation Committee thereof shall approve the</w:t>
            </w:r>
          </w:p>
        </w:tc>
      </w:tr>
      <w:tr>
        <w:trPr>
          <w:trHeight w:val="283"/>
        </w:trPr>
        <w:tc>
          <w:tcPr>
            <w:tcW w:w="4200" w:type="dxa"/>
            <w:vAlign w:val="bottom"/>
            <w:tcBorders>
              <w:left w:val="single" w:sz="8" w:color="auto"/>
              <w:bottom w:val="single" w:sz="8" w:color="auto"/>
              <w:right w:val="single" w:sz="8" w:color="auto"/>
            </w:tcBorders>
          </w:tcPr>
          <w:p>
            <w:pPr>
              <w:spacing w:after="0"/>
              <w:rPr>
                <w:sz w:val="24"/>
                <w:szCs w:val="24"/>
                <w:color w:val="auto"/>
              </w:rPr>
            </w:pPr>
          </w:p>
        </w:tc>
        <w:tc>
          <w:tcPr>
            <w:tcW w:w="6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0E0E0E"/>
              </w:rPr>
              <w:t>grants described in this Non­Employee Director Compensation Policy.</w:t>
            </w:r>
          </w:p>
        </w:tc>
      </w:tr>
    </w:tbl>
    <w:p>
      <w:pPr>
        <w:spacing w:after="0" w:line="310" w:lineRule="exact"/>
        <w:rPr>
          <w:sz w:val="20"/>
          <w:szCs w:val="20"/>
          <w:color w:val="auto"/>
        </w:rPr>
      </w:pPr>
    </w:p>
    <w:p>
      <w:pPr>
        <w:ind w:right="160" w:firstLine="4"/>
        <w:spacing w:after="0" w:line="263" w:lineRule="auto"/>
        <w:rPr>
          <w:sz w:val="20"/>
          <w:szCs w:val="20"/>
          <w:color w:val="auto"/>
        </w:rPr>
      </w:pPr>
      <w:r>
        <w:rPr>
          <w:rFonts w:ascii="Times New Roman" w:cs="Times New Roman" w:eastAsia="Times New Roman" w:hAnsi="Times New Roman"/>
          <w:sz w:val="22"/>
          <w:szCs w:val="22"/>
          <w:color w:val="0E0E0E"/>
        </w:rPr>
        <w:t>All cash fees will be payable in arrears on a quarterly basis or, to the extent earned, upon the earlier resignation or removal of the Covered Non-Employee Director and will be prorated for any fiscal quarter of partial service, based on the number of calendar days the Covered Non-Employee Director was a member of the Board or the applicable committee.</w:t>
      </w:r>
    </w:p>
    <w:p>
      <w:pPr>
        <w:spacing w:after="0" w:line="208" w:lineRule="exact"/>
        <w:rPr>
          <w:sz w:val="20"/>
          <w:szCs w:val="20"/>
          <w:color w:val="auto"/>
        </w:rPr>
      </w:pPr>
    </w:p>
    <w:p>
      <w:pPr>
        <w:ind w:right="280" w:firstLine="2"/>
        <w:spacing w:after="0" w:line="263" w:lineRule="auto"/>
        <w:rPr>
          <w:sz w:val="20"/>
          <w:szCs w:val="20"/>
          <w:color w:val="auto"/>
        </w:rPr>
      </w:pPr>
      <w:r>
        <w:rPr>
          <w:rFonts w:ascii="Times New Roman" w:cs="Times New Roman" w:eastAsia="Times New Roman" w:hAnsi="Times New Roman"/>
          <w:sz w:val="22"/>
          <w:szCs w:val="22"/>
          <w:color w:val="0E0E0E"/>
        </w:rPr>
        <w:t>In addition, Covered Non-Employee Directors will be reimbursed by the Company for reasonable travel and other expenses incurred in connection with the Covered Non-Employee Director's attendance at Board and committee meetings, in accordance with the Company's policies as in effect from time to time.</w:t>
      </w:r>
    </w:p>
    <w:p>
      <w:pPr>
        <w:spacing w:after="0" w:line="208" w:lineRule="exact"/>
        <w:rPr>
          <w:sz w:val="20"/>
          <w:szCs w:val="20"/>
          <w:color w:val="auto"/>
        </w:rPr>
      </w:pPr>
    </w:p>
    <w:p>
      <w:pPr>
        <w:ind w:right="340" w:hanging="3"/>
        <w:spacing w:after="0" w:line="271" w:lineRule="auto"/>
        <w:rPr>
          <w:sz w:val="20"/>
          <w:szCs w:val="20"/>
          <w:color w:val="auto"/>
        </w:rPr>
      </w:pPr>
      <w:r>
        <w:rPr>
          <w:rFonts w:ascii="Times New Roman" w:cs="Times New Roman" w:eastAsia="Times New Roman" w:hAnsi="Times New Roman"/>
          <w:sz w:val="22"/>
          <w:szCs w:val="22"/>
          <w:color w:val="0E0E0E"/>
        </w:rPr>
        <w:t>The Board (or the Compensation Committee thereof) may amend this Non-Employee Director Compensation Policy at any time.</w:t>
      </w:r>
    </w:p>
    <w:p>
      <w:pPr>
        <w:spacing w:after="0" w:line="225" w:lineRule="exact"/>
        <w:rPr>
          <w:sz w:val="20"/>
          <w:szCs w:val="20"/>
          <w:color w:val="auto"/>
        </w:rPr>
      </w:pPr>
    </w:p>
    <w:p>
      <w:pPr>
        <w:spacing w:after="0" w:line="295" w:lineRule="auto"/>
        <w:tabs>
          <w:tab w:leader="none" w:pos="162" w:val="left"/>
        </w:tabs>
        <w:numPr>
          <w:ilvl w:val="0"/>
          <w:numId w:val="17"/>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color w:val="0E0E0E"/>
        </w:rPr>
        <w:t>Covered Non-Employee Directors who are affiliated with investors in the Company are ineligible to receive the Annual Cash Retainer but remain eligible to receive additional cash retainers for providing services as a member of a Board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E0E0E"/>
        </w:rPr>
        <w:t>Amended by the Board of Directors on March 18, 2026</w:t>
      </w:r>
    </w:p>
    <w:p>
      <w:pPr>
        <w:sectPr>
          <w:pgSz w:w="11900" w:h="16838" w:orient="portrait"/>
          <w:cols w:equalWidth="0" w:num="1">
            <w:col w:w="10980"/>
          </w:cols>
          <w:pgMar w:left="440" w:top="1440" w:right="4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RULES 13a-14(a) AND 15d-14(a) UNDER THE SECURITIES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OF 1934, AS ADOPTED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Josh Mandel-Brehm, certify that:</w:t>
      </w:r>
    </w:p>
    <w:p>
      <w:pPr>
        <w:spacing w:after="0" w:line="258" w:lineRule="exact"/>
        <w:rPr>
          <w:sz w:val="20"/>
          <w:szCs w:val="20"/>
          <w:color w:val="auto"/>
        </w:rPr>
      </w:pPr>
    </w:p>
    <w:p>
      <w:pPr>
        <w:ind w:left="600" w:hanging="293"/>
        <w:spacing w:after="0"/>
        <w:tabs>
          <w:tab w:leader="none" w:pos="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CAMP4 Therapeutics Corporation;</w:t>
      </w:r>
    </w:p>
    <w:p>
      <w:pPr>
        <w:spacing w:after="0" w:line="271" w:lineRule="exact"/>
        <w:rPr>
          <w:rFonts w:ascii="Times New Roman" w:cs="Times New Roman" w:eastAsia="Times New Roman" w:hAnsi="Times New Roman"/>
          <w:sz w:val="14"/>
          <w:szCs w:val="14"/>
          <w:color w:val="auto"/>
        </w:rPr>
      </w:pPr>
    </w:p>
    <w:p>
      <w:pPr>
        <w:ind w:left="600" w:right="440" w:hanging="293"/>
        <w:spacing w:after="0" w:line="322" w:lineRule="auto"/>
        <w:tabs>
          <w:tab w:leader="none" w:pos="58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4"/>
          <w:szCs w:val="14"/>
          <w:color w:val="auto"/>
        </w:rPr>
      </w:pPr>
    </w:p>
    <w:p>
      <w:pPr>
        <w:ind w:left="600" w:right="540" w:hanging="293"/>
        <w:spacing w:after="0" w:line="322" w:lineRule="auto"/>
        <w:tabs>
          <w:tab w:leader="none" w:pos="58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4"/>
          <w:szCs w:val="14"/>
          <w:color w:val="auto"/>
        </w:rPr>
      </w:pPr>
    </w:p>
    <w:p>
      <w:pPr>
        <w:ind w:left="600" w:right="780" w:hanging="293"/>
        <w:spacing w:after="0" w:line="322" w:lineRule="auto"/>
        <w:tabs>
          <w:tab w:leader="none" w:pos="58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202" w:lineRule="exact"/>
        <w:rPr>
          <w:rFonts w:ascii="Times New Roman" w:cs="Times New Roman" w:eastAsia="Times New Roman" w:hAnsi="Times New Roman"/>
          <w:sz w:val="14"/>
          <w:szCs w:val="14"/>
          <w:color w:val="auto"/>
        </w:rPr>
      </w:pPr>
    </w:p>
    <w:p>
      <w:pPr>
        <w:ind w:left="1180" w:right="380" w:hanging="290"/>
        <w:spacing w:after="0" w:line="292" w:lineRule="auto"/>
        <w:tabs>
          <w:tab w:leader="none" w:pos="1167"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4"/>
          <w:szCs w:val="14"/>
          <w:color w:val="auto"/>
        </w:rPr>
      </w:pPr>
    </w:p>
    <w:p>
      <w:pPr>
        <w:jc w:val="both"/>
        <w:ind w:left="1180" w:right="220" w:hanging="290"/>
        <w:spacing w:after="0" w:line="281" w:lineRule="auto"/>
        <w:tabs>
          <w:tab w:leader="none" w:pos="117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4"/>
          <w:szCs w:val="14"/>
          <w:color w:val="auto"/>
        </w:rPr>
      </w:pPr>
    </w:p>
    <w:p>
      <w:pPr>
        <w:ind w:left="1180" w:right="540" w:hanging="290"/>
        <w:spacing w:after="0" w:line="302" w:lineRule="auto"/>
        <w:tabs>
          <w:tab w:leader="none" w:pos="1167"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4"/>
          <w:szCs w:val="14"/>
          <w:color w:val="auto"/>
        </w:rPr>
      </w:pPr>
    </w:p>
    <w:p>
      <w:pPr>
        <w:ind w:left="1180" w:right="180" w:hanging="290"/>
        <w:spacing w:after="0" w:line="292" w:lineRule="auto"/>
        <w:tabs>
          <w:tab w:leader="none" w:pos="117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Times New Roman" w:cs="Times New Roman" w:eastAsia="Times New Roman" w:hAnsi="Times New Roman"/>
          <w:sz w:val="14"/>
          <w:szCs w:val="14"/>
          <w:color w:val="auto"/>
        </w:rPr>
      </w:pPr>
    </w:p>
    <w:p>
      <w:pPr>
        <w:ind w:left="600" w:right="400" w:hanging="293"/>
        <w:spacing w:after="0" w:line="302" w:lineRule="auto"/>
        <w:tabs>
          <w:tab w:leader="none" w:pos="58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Times New Roman" w:cs="Times New Roman" w:eastAsia="Times New Roman" w:hAnsi="Times New Roman"/>
          <w:sz w:val="14"/>
          <w:szCs w:val="14"/>
          <w:color w:val="auto"/>
        </w:rPr>
      </w:pPr>
    </w:p>
    <w:p>
      <w:pPr>
        <w:ind w:left="1180" w:right="740" w:hanging="290"/>
        <w:spacing w:after="0" w:line="322" w:lineRule="auto"/>
        <w:tabs>
          <w:tab w:leader="none" w:pos="1167"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4"/>
          <w:szCs w:val="14"/>
          <w:color w:val="auto"/>
        </w:rPr>
      </w:pPr>
    </w:p>
    <w:p>
      <w:pPr>
        <w:ind w:left="1180" w:hanging="290"/>
        <w:spacing w:after="0"/>
        <w:tabs>
          <w:tab w:leader="none" w:pos="11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Dated: May 7, 2026</w:t>
      </w:r>
    </w:p>
    <w:p>
      <w:pPr>
        <w:spacing w:after="0" w:line="2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By: /s/ Josh Mandel-Brehm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135255</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Name: Josh Mandel-Brehm</w:t>
      </w:r>
    </w:p>
    <w:p>
      <w:pPr>
        <w:spacing w:after="0" w:line="6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21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RULES 13a-14(a) AND 15d-14(a) UNDER THE SECURITIES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OF 1934, AS ADOPTED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Kelly Gold, certify that:</w:t>
      </w:r>
    </w:p>
    <w:p>
      <w:pPr>
        <w:spacing w:after="0" w:line="258" w:lineRule="exact"/>
        <w:rPr>
          <w:sz w:val="20"/>
          <w:szCs w:val="20"/>
          <w:color w:val="auto"/>
        </w:rPr>
      </w:pPr>
    </w:p>
    <w:p>
      <w:pPr>
        <w:ind w:left="600" w:hanging="293"/>
        <w:spacing w:after="0"/>
        <w:tabs>
          <w:tab w:leader="none" w:pos="6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CAMP4 Therapeutics Corporation;</w:t>
      </w:r>
    </w:p>
    <w:p>
      <w:pPr>
        <w:spacing w:after="0" w:line="271" w:lineRule="exact"/>
        <w:rPr>
          <w:rFonts w:ascii="Times New Roman" w:cs="Times New Roman" w:eastAsia="Times New Roman" w:hAnsi="Times New Roman"/>
          <w:sz w:val="14"/>
          <w:szCs w:val="14"/>
          <w:color w:val="auto"/>
        </w:rPr>
      </w:pPr>
    </w:p>
    <w:p>
      <w:pPr>
        <w:ind w:left="600" w:right="440" w:hanging="293"/>
        <w:spacing w:after="0" w:line="322" w:lineRule="auto"/>
        <w:tabs>
          <w:tab w:leader="none" w:pos="58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4"/>
          <w:szCs w:val="14"/>
          <w:color w:val="auto"/>
        </w:rPr>
      </w:pPr>
    </w:p>
    <w:p>
      <w:pPr>
        <w:ind w:left="600" w:right="540" w:hanging="293"/>
        <w:spacing w:after="0" w:line="322" w:lineRule="auto"/>
        <w:tabs>
          <w:tab w:leader="none" w:pos="58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4"/>
          <w:szCs w:val="14"/>
          <w:color w:val="auto"/>
        </w:rPr>
      </w:pPr>
    </w:p>
    <w:p>
      <w:pPr>
        <w:ind w:left="600" w:right="780" w:hanging="293"/>
        <w:spacing w:after="0" w:line="322" w:lineRule="auto"/>
        <w:tabs>
          <w:tab w:leader="none" w:pos="58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202" w:lineRule="exact"/>
        <w:rPr>
          <w:rFonts w:ascii="Times New Roman" w:cs="Times New Roman" w:eastAsia="Times New Roman" w:hAnsi="Times New Roman"/>
          <w:sz w:val="14"/>
          <w:szCs w:val="14"/>
          <w:color w:val="auto"/>
        </w:rPr>
      </w:pPr>
    </w:p>
    <w:p>
      <w:pPr>
        <w:ind w:left="1180" w:right="380" w:hanging="290"/>
        <w:spacing w:after="0" w:line="292" w:lineRule="auto"/>
        <w:tabs>
          <w:tab w:leader="none" w:pos="116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4"/>
          <w:szCs w:val="14"/>
          <w:color w:val="auto"/>
        </w:rPr>
      </w:pPr>
    </w:p>
    <w:p>
      <w:pPr>
        <w:jc w:val="both"/>
        <w:ind w:left="1180" w:right="220" w:hanging="290"/>
        <w:spacing w:after="0" w:line="281" w:lineRule="auto"/>
        <w:tabs>
          <w:tab w:leader="none" w:pos="117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4"/>
          <w:szCs w:val="14"/>
          <w:color w:val="auto"/>
        </w:rPr>
      </w:pPr>
    </w:p>
    <w:p>
      <w:pPr>
        <w:ind w:left="1180" w:right="540" w:hanging="290"/>
        <w:spacing w:after="0" w:line="302" w:lineRule="auto"/>
        <w:tabs>
          <w:tab w:leader="none" w:pos="116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4"/>
          <w:szCs w:val="14"/>
          <w:color w:val="auto"/>
        </w:rPr>
      </w:pPr>
    </w:p>
    <w:p>
      <w:pPr>
        <w:ind w:left="1180" w:right="180" w:hanging="290"/>
        <w:spacing w:after="0" w:line="292" w:lineRule="auto"/>
        <w:tabs>
          <w:tab w:leader="none" w:pos="117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Times New Roman" w:cs="Times New Roman" w:eastAsia="Times New Roman" w:hAnsi="Times New Roman"/>
          <w:sz w:val="14"/>
          <w:szCs w:val="14"/>
          <w:color w:val="auto"/>
        </w:rPr>
      </w:pPr>
    </w:p>
    <w:p>
      <w:pPr>
        <w:ind w:left="600" w:right="400" w:hanging="293"/>
        <w:spacing w:after="0" w:line="302" w:lineRule="auto"/>
        <w:tabs>
          <w:tab w:leader="none" w:pos="588"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Times New Roman" w:cs="Times New Roman" w:eastAsia="Times New Roman" w:hAnsi="Times New Roman"/>
          <w:sz w:val="14"/>
          <w:szCs w:val="14"/>
          <w:color w:val="auto"/>
        </w:rPr>
      </w:pPr>
    </w:p>
    <w:p>
      <w:pPr>
        <w:ind w:left="1180" w:right="740" w:hanging="290"/>
        <w:spacing w:after="0" w:line="322" w:lineRule="auto"/>
        <w:tabs>
          <w:tab w:leader="none" w:pos="1167"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4"/>
          <w:szCs w:val="14"/>
          <w:color w:val="auto"/>
        </w:rPr>
      </w:pPr>
    </w:p>
    <w:p>
      <w:pPr>
        <w:ind w:left="1180" w:hanging="290"/>
        <w:spacing w:after="0"/>
        <w:tabs>
          <w:tab w:leader="none" w:pos="11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Dated: May 7, 2026</w:t>
      </w: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By: /s/ Kelly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135255</wp:posOffset>
            </wp:positionV>
            <wp:extent cx="4140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Name: Kelly Gold</w:t>
      </w:r>
    </w:p>
    <w:p>
      <w:pPr>
        <w:spacing w:after="0" w:line="8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350,</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64" w:lineRule="exact"/>
        <w:rPr>
          <w:sz w:val="20"/>
          <w:szCs w:val="20"/>
          <w:color w:val="auto"/>
        </w:rPr>
      </w:pPr>
    </w:p>
    <w:p>
      <w:pPr>
        <w:ind w:right="960"/>
        <w:spacing w:after="0" w:line="316"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CAMP4 Therapeutics Corporation (the “Company”) hereby certifies, to the best of my knowledge, that:</w:t>
      </w:r>
    </w:p>
    <w:p>
      <w:pPr>
        <w:spacing w:after="0" w:line="191" w:lineRule="exact"/>
        <w:rPr>
          <w:sz w:val="20"/>
          <w:szCs w:val="20"/>
          <w:color w:val="auto"/>
        </w:rPr>
      </w:pPr>
    </w:p>
    <w:p>
      <w:pPr>
        <w:ind w:left="1180" w:right="320" w:hanging="290"/>
        <w:spacing w:after="0" w:line="298"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Company for the fiscal quarter ended March 31, 2026 (the “Report”) fully complies with the requirements of Section 13(a) or Section 15(d) of the Securities Exchange Act of 1934; and</w:t>
      </w:r>
    </w:p>
    <w:p>
      <w:pPr>
        <w:spacing w:after="0" w:line="218" w:lineRule="exact"/>
        <w:rPr>
          <w:rFonts w:ascii="Times New Roman" w:cs="Times New Roman" w:eastAsia="Times New Roman" w:hAnsi="Times New Roman"/>
          <w:sz w:val="16"/>
          <w:szCs w:val="16"/>
          <w:color w:val="auto"/>
        </w:rPr>
      </w:pPr>
    </w:p>
    <w:p>
      <w:pPr>
        <w:ind w:left="1160" w:hanging="270"/>
        <w:spacing w:after="0"/>
        <w:tabs>
          <w:tab w:leader="none" w:pos="11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May 7, 2026</w:t>
      </w:r>
    </w:p>
    <w:p>
      <w:pPr>
        <w:spacing w:after="0" w:line="23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By: /s/ Josh Mandel-Brehm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132080</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Name: Josh Mandel-Brehm</w:t>
      </w:r>
    </w:p>
    <w:p>
      <w:pPr>
        <w:spacing w:after="0" w:line="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Title: President and Chief Executive Officer</w:t>
      </w:r>
    </w:p>
    <w:p>
      <w:pPr>
        <w:spacing w:after="0" w:line="23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2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350,</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64" w:lineRule="exact"/>
        <w:rPr>
          <w:sz w:val="20"/>
          <w:szCs w:val="20"/>
          <w:color w:val="auto"/>
        </w:rPr>
      </w:pPr>
    </w:p>
    <w:p>
      <w:pPr>
        <w:ind w:right="960"/>
        <w:spacing w:after="0" w:line="316"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CAMP4 Therapeutics Corporation (the “Company”) hereby certifies, to the best of my knowledge, that:</w:t>
      </w:r>
    </w:p>
    <w:p>
      <w:pPr>
        <w:spacing w:after="0" w:line="191" w:lineRule="exact"/>
        <w:rPr>
          <w:sz w:val="20"/>
          <w:szCs w:val="20"/>
          <w:color w:val="auto"/>
        </w:rPr>
      </w:pPr>
    </w:p>
    <w:p>
      <w:pPr>
        <w:ind w:left="1180" w:right="320" w:hanging="290"/>
        <w:spacing w:after="0" w:line="298" w:lineRule="auto"/>
        <w:tabs>
          <w:tab w:leader="none" w:pos="1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Company for the fiscal quarter ended March 31, 2026 (the “Report”) fully complies with the requirements of Section 13(a) or Section 15(d) of the Securities Exchange Act of 1934; and</w:t>
      </w:r>
    </w:p>
    <w:p>
      <w:pPr>
        <w:spacing w:after="0" w:line="218" w:lineRule="exact"/>
        <w:rPr>
          <w:rFonts w:ascii="Times New Roman" w:cs="Times New Roman" w:eastAsia="Times New Roman" w:hAnsi="Times New Roman"/>
          <w:sz w:val="16"/>
          <w:szCs w:val="16"/>
          <w:color w:val="auto"/>
        </w:rPr>
      </w:pPr>
    </w:p>
    <w:p>
      <w:pPr>
        <w:ind w:left="1160" w:hanging="270"/>
        <w:spacing w:after="0"/>
        <w:tabs>
          <w:tab w:leader="none" w:pos="11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May 7, 2026</w:t>
      </w:r>
    </w:p>
    <w:p>
      <w:pPr>
        <w:spacing w:after="0" w:line="23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By: /s/ Kelly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132080</wp:posOffset>
            </wp:positionV>
            <wp:extent cx="3934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0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 Kelly Gold</w:t>
      </w:r>
    </w:p>
    <w:p>
      <w:pPr>
        <w:spacing w:after="0" w:line="7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3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sectPr>
      <w:pgSz w:w="11900" w:h="16838" w:orient="portrait"/>
      <w:cols w:equalWidth="0" w:num="1">
        <w:col w:w="11240"/>
      </w:cols>
      <w:pgMar w:left="320" w:top="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617"/>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1)"/>
      <w:numFmt w:val="lowerLetter"/>
      <w:start w:val="3"/>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3" Type="http://schemas.openxmlformats.org/officeDocument/2006/relationships/hyperlink" Target="https://www.sec.gov/Archives/edgar/data/1736730/000110465924108583/tm2426167d1_ex3-1.htm" TargetMode="External"/><Relationship Id="rId54" Type="http://schemas.openxmlformats.org/officeDocument/2006/relationships/hyperlink" Target="https://www.sec.gov/Archives/edgar/data/1736730/000110465924108583/tm2426167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2026-05-07T15:27:01Z</dcterms:created>
  <dcterms:modified xsi:type="dcterms:W3CDTF">2026-05-07T15:27:01Z</dcterms:modified>
</cp:coreProperties>
</file>