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August 6, 2026.</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REGISTRATION STATEMENT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UNDER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CAMP4 Therapeutics Corporation</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69" w:type="dxa"/>
        <w:jc w:val="left"/>
        <w:tblInd w:w="0" w:type="dxa"/>
        <w:tblLayout w:type="fixed"/>
        <w:tblCellMar>
          <w:top w:w="28" w:type="dxa"/>
          <w:left w:w="28" w:type="dxa"/>
          <w:bottom w:w="28" w:type="dxa"/>
          <w:right w:w="28" w:type="dxa"/>
        </w:tblCellMar>
      </w:tblPr>
      <w:tblGrid>
        <w:gridCol w:w="880"/>
        <w:gridCol w:w="773"/>
        <w:gridCol w:w="777"/>
        <w:gridCol w:w="419"/>
        <w:gridCol w:w="419"/>
        <w:gridCol w:w="601"/>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81-1152476</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 or organization)</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One Kendall Square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Building 1400 West, 3rd Floor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Cambridge, Massachusetts 02139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651-8867</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Josh Mandel-Brehm</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President and Chief Executive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CAMP4 Therapeutics Corporation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One Kendall Square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Building 1400 West, 3rd Floor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Cambridge, Massachusetts 02139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651-8867</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With copies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Thomas Danielski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Ropes &amp; Gray LLP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Prudential Tower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800 Boylston St.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Boston, Massachusetts 02199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(617) 951-7000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From time to time after the effective date of this Registration Statement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date of commencement of proposed sale to the public)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6"/>
        </w:rPr>
        <w:t xml:space="preserve">If the only securities being registered on this Form are being offered pursuant to dividend or interest reinvestment plans, please check the following box.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60"/>
        <w:jc w:val="left"/>
        <w:rPr/>
      </w:pPr>
      <w:r>
        <w:rPr>
          <w:rFonts w:ascii="Times New Roman;serif" w:hAnsi="Times New Roman;serif"/>
          <w:b w:val="false"/>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sans-serif" w:hAnsi="Wingdings;sans-serif"/>
          <w:b w:val="false"/>
          <w:color w:val="000000"/>
          <w:sz w:val="16"/>
        </w:rPr>
        <w:t>o</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805" w:type="dxa"/>
        <w:jc w:val="left"/>
        <w:tblInd w:w="0" w:type="dxa"/>
        <w:tblLayout w:type="fixed"/>
        <w:tblCellMar>
          <w:top w:w="28" w:type="dxa"/>
          <w:left w:w="28" w:type="dxa"/>
          <w:bottom w:w="28" w:type="dxa"/>
          <w:right w:w="28" w:type="dxa"/>
        </w:tblCellMar>
      </w:tblPr>
      <w:tblGrid>
        <w:gridCol w:w="619"/>
        <w:gridCol w:w="544"/>
        <w:gridCol w:w="546"/>
        <w:gridCol w:w="109"/>
        <w:gridCol w:w="109"/>
        <w:gridCol w:w="109"/>
        <w:gridCol w:w="109"/>
        <w:gridCol w:w="109"/>
        <w:gridCol w:w="109"/>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uto" w:line="288" w:before="0" w:after="120"/>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DE1A1E"/>
          <w:sz w:val="20"/>
        </w:rPr>
      </w:pPr>
      <w:r>
        <w:rPr>
          <w:rFonts w:ascii="Times New Roman;serif" w:hAnsi="Times New Roman;serif"/>
          <w:b/>
          <w:color w:val="DE1A1E"/>
          <w:sz w:val="20"/>
        </w:rPr>
        <w:t>The information in this prospectus is not complete and may be changed. The selling stockholders may not sell these securities or accept an offer to buy these securities until the registration statement is effective. This prospectus is not an offer to sell these securities and is not soliciting an offer to buy these securities in any state where the offer or sale is not permitted.</w:t>
      </w:r>
    </w:p>
    <w:p>
      <w:pPr>
        <w:pStyle w:val="TextBody"/>
        <w:bidi w:val="0"/>
        <w:spacing w:lineRule="auto" w:line="288" w:before="0" w:after="180"/>
        <w:jc w:val="center"/>
        <w:rPr>
          <w:rFonts w:ascii="Times New Roman;serif" w:hAnsi="Times New Roman;serif"/>
          <w:b/>
          <w:color w:val="DE1A1E"/>
          <w:sz w:val="20"/>
        </w:rPr>
      </w:pPr>
      <w:r>
        <w:rPr>
          <w:rFonts w:ascii="Times New Roman;serif" w:hAnsi="Times New Roman;serif"/>
          <w:b/>
          <w:color w:val="DE1A1E"/>
          <w:sz w:val="20"/>
        </w:rPr>
        <w:t>SUBJECT TO COMPLETION, DATED August 6,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PRELIMINARY PROSPECTUS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before="0" w:after="180"/>
        <w:jc w:val="center"/>
        <w:rPr/>
      </w:pPr>
      <w:r>
        <w:rPr/>
        <w:drawing>
          <wp:inline distT="0" distB="0" distL="0" distR="0">
            <wp:extent cx="2286000" cy="714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7143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10,795,804 Shares of Common Stock </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21,925,368 Shares of Common Stock Underlying Pre-Funded Warrants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resale or other disposition from time to time by the selling stockholders identified in this prospectus, including their transferees, pledgees, donees or successors, of up to (i) 10,795,804 shares of our common stock, par value $0.0001 per share (the “Common Stock”), and (ii) 21,925,368 shares of Common Stock issuable upon the exercise of pre-funded warrants, with an exercise price of $0.0001 per share (the “2026 Pre-Funded Warrants” and, together with the Common Stock, the “Resale Shares”), that we issued in connection with the Second Closing (as defined below) of the private placement, which initially closed on September 11, 2025, pursuant to the Securities Purchase Agreement, dated as of September 9, 2025 (the “Purchase Agreement”), by and among CAMP4 Therapeutics Corporation and the investors party thereto. </w:t>
      </w:r>
    </w:p>
    <w:p>
      <w:pPr>
        <w:pStyle w:val="TextBody"/>
        <w:bidi w:val="0"/>
        <w:spacing w:lineRule="auto" w:line="288" w:before="0" w:after="180"/>
        <w:jc w:val="left"/>
        <w:rPr/>
      </w:pPr>
      <w:r>
        <w:rPr>
          <w:rFonts w:ascii="Times New Roman;serif" w:hAnsi="Times New Roman;serif"/>
          <w:b w:val="false"/>
          <w:color w:val="000000"/>
          <w:sz w:val="20"/>
        </w:rPr>
        <w:t xml:space="preserve">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which begins on page </w:t>
      </w:r>
      <w:hyperlink w:anchor="i06a5e4b2a84d414e9ebdf6b92fe5ff44_34">
        <w:r>
          <w:rPr>
            <w:rStyle w:val="InternetLink"/>
            <w:rFonts w:ascii="Times New Roman;serif" w:hAnsi="Times New Roman;serif"/>
            <w:b w:val="false"/>
            <w:color w:val="0000FF"/>
            <w:sz w:val="20"/>
            <w:u w:val="single"/>
          </w:rPr>
          <w:t>16</w:t>
        </w:r>
      </w:hyperlink>
      <w:r>
        <w:rPr>
          <w:rFonts w:ascii="Times New Roman;serif" w:hAnsi="Times New Roman;serif"/>
          <w:b w:val="false"/>
          <w:color w:val="000000"/>
          <w:sz w:val="20"/>
        </w:rPr>
        <w:t xml:space="preserve">. We do not know when or in what amount the selling stockholders may dispose of or offer for sale the shares covered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offering any shares of Common Stock under this prospectus. We will not receive any of the proceeds from the sale of shares of Common Stock by the selling stockholders, except with respect to the amounts received by us upon exercise of the 2026 Pre-Funded Warrants, to the extent such 2026 Pre-Funded Warrants are exercised for cash. All expenses of registration incurred in connection with this offering are being borne by us. The selling stockholders will bear all discounts and commissions, if any, and expenses incurred by them for brokerage, accounting, tax or legal services or any other expenses incurred in their sale of shares of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Market under the symbol “CAMP.” On August 5, 2026, the last reported sale price of our Common Stock was $4.01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amend or supplement this prospectus from time to time by filing amendments or supplements as required. You should read the entire prospectus and any amendments or supplements carefully before you make your investment decision. </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w:t>
      </w:r>
      <w:hyperlink w:anchor="i06a5e4b2a84d414e9ebdf6b92fe5ff44_16">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06a5e4b2a84d414e9ebdf6b92fe5ff44_16">
        <w:r>
          <w:rPr>
            <w:rStyle w:val="InternetLink"/>
            <w:rFonts w:ascii="Times New Roman;serif" w:hAnsi="Times New Roman;serif"/>
            <w:b/>
            <w:color w:val="0000FF"/>
            <w:sz w:val="20"/>
            <w:u w:val="single"/>
          </w:rPr>
          <w:t>4</w:t>
        </w:r>
      </w:hyperlink>
      <w:r>
        <w:rPr>
          <w:rFonts w:ascii="Times New Roman;serif" w:hAnsi="Times New Roman;serif"/>
          <w:b/>
          <w:color w:val="000000"/>
          <w:sz w:val="20"/>
        </w:rPr>
        <w:t>, and any applicable prospectus supplement, and under similar headings in the other documents that are incorporated by reference into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dated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246" w:type="dxa"/>
        <w:jc w:val="left"/>
        <w:tblInd w:w="0" w:type="dxa"/>
        <w:tblLayout w:type="fixed"/>
        <w:tblCellMar>
          <w:top w:w="28" w:type="dxa"/>
          <w:left w:w="28" w:type="dxa"/>
          <w:bottom w:w="28" w:type="dxa"/>
          <w:right w:w="28" w:type="dxa"/>
        </w:tblCellMar>
      </w:tblPr>
      <w:tblGrid>
        <w:gridCol w:w="2850"/>
        <w:gridCol w:w="2509"/>
        <w:gridCol w:w="2515"/>
        <w:gridCol w:w="109"/>
        <w:gridCol w:w="109"/>
        <w:gridCol w:w="154"/>
      </w:tblGrid>
      <w:tr>
        <w:trPr/>
        <w:tc>
          <w:tcPr>
            <w:tcW w:w="2850"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0">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0">
              <w:r>
                <w:rPr>
                  <w:rStyle w:val="InternetLink"/>
                  <w:rFonts w:ascii="Times New Roman;serif" w:hAnsi="Times New Roman;serif"/>
                  <w:b w:val="false"/>
                  <w:color w:val="0000FF"/>
                  <w:sz w:val="20"/>
                  <w:u w:val="single"/>
                </w:rPr>
                <w:t>1</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3">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3">
              <w:r>
                <w:rPr>
                  <w:rStyle w:val="InternetLink"/>
                  <w:rFonts w:ascii="Times New Roman;serif" w:hAnsi="Times New Roman;serif"/>
                  <w:b w:val="false"/>
                  <w:color w:val="0000FF"/>
                  <w:sz w:val="20"/>
                  <w:u w:val="single"/>
                </w:rPr>
                <w:t>2</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6">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6">
              <w:r>
                <w:rPr>
                  <w:rStyle w:val="InternetLink"/>
                  <w:rFonts w:ascii="Times New Roman;serif" w:hAnsi="Times New Roman;serif"/>
                  <w:b w:val="false"/>
                  <w:color w:val="0000FF"/>
                  <w:sz w:val="20"/>
                  <w:u w:val="single"/>
                </w:rPr>
                <w:t>4</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9">
              <w:r>
                <w:rPr>
                  <w:rStyle w:val="InternetLink"/>
                  <w:rFonts w:ascii="Times New Roman;serif" w:hAnsi="Times New Roman;serif"/>
                  <w:b w:val="false"/>
                  <w:color w:val="0000FF"/>
                  <w:sz w:val="20"/>
                  <w:u w:val="single"/>
                </w:rPr>
                <w:t>DESCRIPTION OF PRIVATE PLACEMENT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9">
              <w:r>
                <w:rPr>
                  <w:rStyle w:val="InternetLink"/>
                  <w:rFonts w:ascii="Times New Roman;serif" w:hAnsi="Times New Roman;serif"/>
                  <w:b w:val="false"/>
                  <w:color w:val="0000FF"/>
                  <w:sz w:val="20"/>
                  <w:u w:val="single"/>
                </w:rPr>
                <w:t>5</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22">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22">
              <w:r>
                <w:rPr>
                  <w:rStyle w:val="InternetLink"/>
                  <w:rFonts w:ascii="Times New Roman;serif" w:hAnsi="Times New Roman;serif"/>
                  <w:b w:val="false"/>
                  <w:color w:val="0000FF"/>
                  <w:sz w:val="20"/>
                  <w:u w:val="single"/>
                </w:rPr>
                <w:t>6</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25">
              <w:r>
                <w:rPr>
                  <w:rStyle w:val="InternetLink"/>
                  <w:rFonts w:ascii="Times New Roman;serif" w:hAnsi="Times New Roman;serif"/>
                  <w:b w:val="false"/>
                  <w:color w:val="0000FF"/>
                  <w:sz w:val="20"/>
                  <w:u w:val="single"/>
                </w:rPr>
                <w:t>SPECIAL NOTE REGARDING FORWARD-LOOKING STATEMENTS AND INDUSTRY DATA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25">
              <w:r>
                <w:rPr>
                  <w:rStyle w:val="InternetLink"/>
                  <w:rFonts w:ascii="Times New Roman;serif" w:hAnsi="Times New Roman;serif"/>
                  <w:b w:val="false"/>
                  <w:color w:val="0000FF"/>
                  <w:sz w:val="20"/>
                  <w:u w:val="single"/>
                </w:rPr>
                <w:t>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28">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28">
              <w:r>
                <w:rPr>
                  <w:rStyle w:val="InternetLink"/>
                  <w:rFonts w:ascii="Times New Roman;serif" w:hAnsi="Times New Roman;serif"/>
                  <w:b w:val="false"/>
                  <w:color w:val="0000FF"/>
                  <w:sz w:val="20"/>
                  <w:u w:val="single"/>
                </w:rPr>
                <w:t>10</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31">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31">
              <w:r>
                <w:rPr>
                  <w:rStyle w:val="InternetLink"/>
                  <w:rFonts w:ascii="Times New Roman;serif" w:hAnsi="Times New Roman;serif"/>
                  <w:b w:val="false"/>
                  <w:color w:val="0000FF"/>
                  <w:sz w:val="20"/>
                  <w:u w:val="single"/>
                </w:rPr>
                <w:t>11</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34">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34">
              <w:r>
                <w:rPr>
                  <w:rStyle w:val="InternetLink"/>
                  <w:rFonts w:ascii="Times New Roman;serif" w:hAnsi="Times New Roman;serif"/>
                  <w:b w:val="false"/>
                  <w:color w:val="0000FF"/>
                  <w:sz w:val="20"/>
                  <w:u w:val="single"/>
                </w:rPr>
                <w:t>16</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37">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37">
              <w:r>
                <w:rPr>
                  <w:rStyle w:val="InternetLink"/>
                  <w:rFonts w:ascii="Times New Roman;serif" w:hAnsi="Times New Roman;serif"/>
                  <w:b w:val="false"/>
                  <w:color w:val="0000FF"/>
                  <w:sz w:val="20"/>
                  <w:u w:val="single"/>
                </w:rPr>
                <w:t>18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40">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40">
              <w:r>
                <w:rPr>
                  <w:rStyle w:val="InternetLink"/>
                  <w:rFonts w:ascii="Times New Roman;serif" w:hAnsi="Times New Roman;serif"/>
                  <w:b w:val="false"/>
                  <w:color w:val="0000FF"/>
                  <w:sz w:val="20"/>
                  <w:u w:val="single"/>
                </w:rPr>
                <w:t>18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43">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43">
              <w:r>
                <w:rPr>
                  <w:rStyle w:val="InternetLink"/>
                  <w:rFonts w:ascii="Times New Roman;serif" w:hAnsi="Times New Roman;serif"/>
                  <w:b w:val="false"/>
                  <w:color w:val="0000FF"/>
                  <w:sz w:val="20"/>
                  <w:u w:val="single"/>
                </w:rPr>
                <w:t>18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46">
              <w:r>
                <w:rPr>
                  <w:rStyle w:val="InternetLink"/>
                  <w:rFonts w:ascii="Times New Roman;serif" w:hAnsi="Times New Roman;serif"/>
                  <w:b w:val="false"/>
                  <w:color w:val="0000FF"/>
                  <w:sz w:val="20"/>
                  <w:u w:val="single"/>
                </w:rPr>
                <w:t>INCORPORATION OF DOCUMENTS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46">
              <w:r>
                <w:rPr>
                  <w:rStyle w:val="InternetLink"/>
                  <w:rFonts w:ascii="Times New Roman;serif" w:hAnsi="Times New Roman;serif"/>
                  <w:b w:val="false"/>
                  <w:color w:val="0000FF"/>
                  <w:sz w:val="20"/>
                  <w:u w:val="single"/>
                </w:rPr>
                <w:t>19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Securities and Exchange Commission (the “SEC”) using a “shelf” registration or continuous offering process.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and the information and documents incorporated by reference carefully. Such documents contain important information you should consider when making your investment decision. See “Where You Can Find More Information” and “Incorporation of Documents by Reference”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Neither we nor the selling stockholders have authorized any other person to provide you with different information. If anyone provides you with different or inconsistent information, you should not rely on it.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filed with the SEC that is incorporated by reference, is accurate as of the date on the front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or the context requires otherwise, references in this prospectus to “CAMP4,” the “company” or the “Company,” “we,” “us,” or “our” refer to CAMP4 Therapeutics Corporation and our subsidiary on a consolidated basis, as appropriate, unless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included or incorporated by reference in this prospectus and does not contain all of the information that may be important to you. You should carefully review this entire prospectus and any supplements to this prospectus, including the risk factors and financial statements included or incorporated by reference herein or therein.</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 </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We are a clinical-stage biopharmaceutical company pioneering the discovery and development of a new class of RNA-targeting therapeutics with the goal of upregulating gene expression and restoring healthy protein levels to treat a broad range of genetic diseases. Our lead product candidate, CMP-002, has the potential to be the first disease-modifying therapy for the treatment of synaptic Ras GTPase activating protein 1 (“SYNGAP1”)-related disorder, or SYNGAP1, a severe developmental and epileptic encephalopathy (“DEE”) characterized by seizures, developmental delays, and cognitive impairments. SYNGAP1 is caused by haploinsufficiency of the </w:t>
      </w:r>
      <w:r>
        <w:rPr>
          <w:rFonts w:ascii="Times New Roman;serif" w:hAnsi="Times New Roman;serif"/>
          <w:b w:val="false"/>
          <w:i/>
          <w:color w:val="000000"/>
          <w:sz w:val="20"/>
          <w:bdr w:val="single" w:sz="8" w:space="36" w:color="000000"/>
        </w:rPr>
        <w:t>SYNGAP1</w:t>
      </w:r>
      <w:r>
        <w:rPr>
          <w:color w:val="000000"/>
          <w:bdr w:val="single" w:sz="8" w:space="36" w:color="000000"/>
        </w:rPr>
        <w:t xml:space="preserve"> </w:t>
      </w:r>
      <w:r>
        <w:rPr>
          <w:rFonts w:ascii="Times New Roman;serif" w:hAnsi="Times New Roman;serif"/>
          <w:b w:val="false"/>
          <w:color w:val="000000"/>
          <w:sz w:val="20"/>
          <w:bdr w:val="single" w:sz="8" w:space="36" w:color="000000"/>
        </w:rPr>
        <w:t>gene, where mutation of one functional gene copy results in a reduction in SYNGAP protein levels of up to 50%. While we believe that it remains underdiagnosed, we estimate that there are approximately 21,000 individuals living with SYNGAP1 in the United States and the five largest European markets. There are no approved disease-modifying therapies for SYNGAP1.</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CMP-002 is a novel, intrathecally delivered antisense oligonucleotide (“ASO”) designed to target the </w:t>
      </w:r>
      <w:r>
        <w:rPr>
          <w:rFonts w:ascii="Times New Roman;serif" w:hAnsi="Times New Roman;serif"/>
          <w:b w:val="false"/>
          <w:i/>
          <w:color w:val="000000"/>
          <w:sz w:val="20"/>
          <w:bdr w:val="single" w:sz="8" w:space="36" w:color="000000"/>
        </w:rPr>
        <w:t>SYNGAP1</w:t>
      </w:r>
      <w:r>
        <w:rPr>
          <w:color w:val="000000"/>
          <w:bdr w:val="single" w:sz="8" w:space="36" w:color="000000"/>
        </w:rPr>
        <w:t xml:space="preserve"> </w:t>
      </w:r>
      <w:r>
        <w:rPr>
          <w:rFonts w:ascii="Times New Roman;serif" w:hAnsi="Times New Roman;serif"/>
          <w:b w:val="false"/>
          <w:color w:val="000000"/>
          <w:sz w:val="20"/>
          <w:bdr w:val="single" w:sz="8" w:space="36" w:color="000000"/>
        </w:rPr>
        <w:t xml:space="preserve">gene at the transcriptional level to increase gene expression, which may increase SYNGAP protein levels in amounts sufficient to yield therapeutic benefit. In preclinical studies, intracerebroventricular injection of CMP-002 restored SYNGAP protein levels to near normal range in haploinsufficient mice carrying a single copy of the human </w:t>
      </w:r>
      <w:r>
        <w:rPr>
          <w:rFonts w:ascii="Times New Roman;serif" w:hAnsi="Times New Roman;serif"/>
          <w:b w:val="false"/>
          <w:i/>
          <w:color w:val="000000"/>
          <w:sz w:val="20"/>
          <w:bdr w:val="single" w:sz="8" w:space="36" w:color="000000"/>
        </w:rPr>
        <w:t>SYNGAP1</w:t>
      </w:r>
      <w:r>
        <w:rPr>
          <w:color w:val="000000"/>
          <w:bdr w:val="single" w:sz="8" w:space="36" w:color="000000"/>
        </w:rPr>
        <w:t xml:space="preserve"> </w:t>
      </w:r>
      <w:r>
        <w:rPr>
          <w:rFonts w:ascii="Times New Roman;serif" w:hAnsi="Times New Roman;serif"/>
          <w:b w:val="false"/>
          <w:color w:val="000000"/>
          <w:sz w:val="20"/>
          <w:bdr w:val="single" w:sz="8" w:space="36" w:color="000000"/>
        </w:rPr>
        <w:t>gene after a single dose and rescued motor defects and spatial learning defects following two doses. A single dose of CMP-002 also produced a statistically significant improvement in both seizure threshold and severity of chemically induced tonic-clonic seizures in SYNGAP1 haploinsufficient mice, suggesting the potential for therapeutic benefit across both the neurodevelopmental and seizure phenotypes that characterize SYNGAP1-related disorder. In addition, biweekly intrathecal injections of CMP-002 in cynomolgus monkeys were well tolerated and significantly increased SYNGAP protein levels across multiple brain regions clinically relevant to the disease, with dose-linear increases of CMP-002 in disease-relevant brain regions. In July 2026, we announced that we had received clearance from Australia’s Therapeutic Goods Administration and the local Human Research Ethics Committee to initiate our Phase 1/2 clinical trial of CMP-002 in individuals with SYNGAP1.</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product development efforts are enabled by our proprietary RAP Platform. We leverage our RAP Platform to identify and characterize regulatory RNAs (“regRNAs”), which play a central role in the regulation of every protein-coding gene by contributing to gene activation and suppression. Our approach is designed to amplify messenger RNA (“mRNA”) expression by harnessing the power of regRNAs that form localized complexes with transcription factors and regulate gene expression. Our RAP Platform allows us to rapidly and systematically identify and characterize the active regulatory elements controlling every expressed gene and tens of thousands of druggable enhancer and promoter regRNA sequences that control protein-coding genes. Once a disease-associated target gene is identified, we apply our RAP Platform to identify the controlling regRNA and rapidly generate novel ASO candidates. These ASOs are designed to bind to the identified regRNA and amplify the expression of the target gene in a specific and controllable way.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primary therapeutic focus is on diseases of the central nervous system (“CNS”), where there are numerous rare and prevalent haploinsufficient diseases with no approved treatments for which a modest increase in protein expression has the potential to be clinically meaningful. In addition to our SYNGAP1 program, we are advancing discovery programs in other CNS indications. We also intend to leverage strategic discovery partnerships, including our research, collaboration, and license agreement with GlaxoSmithKline, to extend the application of our RAP Platform beyond the CNS and validate our approach to gene upregulation in additional tissues and disease areas.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principal executive offices are located at One Kendall Square, Building 1400 West, 3rd Floor, Cambridge, Massachusetts 02139 and our telephone number is (617) 651-8867. Our website address is www.camp4tx.com. The information contained on, or accessible through, our website is not incorporated by reference into this prospectus.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included our website in this prospectus solely as an inactive textual reference, and investors should not rely on any such information in deciding whether to purchase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An investment in our securities involves risks. Prior to making a decision about investing in our securities, you should consider carefully the risks together with all of the other information contained or incorporated by reference in this prospectus, including any risks described in the section entitled “Risk Factors” contained in any supplements to this prospectus, in our Annual Report on Form 10-K for the year ended December 31, 2025 and in our subsequent filings with the SEC. Each of the referenced risks and uncertainties could adversely affect our business, prospects, operating results and financial condition, as well as adversely affect the value of an investment in our securities. Additional risks not known to us or that we believe are immaterial may also adversely affect our business, operating results and financial condition and the value of an investment in our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sale of the securities registered for resale hereunder and future sales of substantial amounts of our securities in the public market (including the shares of Common Stock issuable upon the exercise of the 2026 Pre-Funded Warrants), or the perception that such sales may occur, may cause the market price of our Common Stock to decline significantly.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Resale Shares represent a substantial percentage of our total outstanding Common Stock as of the date of this prospectus. The Resale Shares being offered for resale in this prospectus represent approximately 38.6% of our total outstanding Common Stock as of August 3, 2026, assuming the exercise of the 2026 Pre-Funded Warrants into shares of Common Stock without giving effect to beneficial ownership limitations, if any. The sale of the Resale Shares in the public market, or the perception that holders of a large number of securities intend to sell their securities, could significantly reduce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predict if and when the selling stockholders may sell such shares in the public markets. Furthermore, in the future, we may issue additional shares of Common Stock or other equity or debt securities convertible into shares of Common Stock. Any such issuance could result in substantial dilution to our existing stockholders and could cause our stock price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PRIVATE PLACEMENT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9, 2025, the Company entered into a securities purchase agreement (the “Purchase Agreement”) with the selling stockholders named in this prospectus, pursuant to which the Company agreed to sell to the selling stockholders certain securities, in up to two closings in a private placement transaction (the “Private Placement”). The initial closing occurred on September 11, 2025 (the “Initial Closing”). At the Initial Closing, the Company issued 26,717,414 shares of the Company’s Common Stock and 6,003,758 pre-funded warrants (the “2025 Pre-Funded Warrants”) for net cash proceeds of $46.7 million, after deducting $3.3 million in issuance costs and legal fees. The Purchase Agreement also contemplates a second closing of the Private Placement (the “Second Closing”). The Second Closing was triggered upon the achievement of the CTA Milestone (as defined in the Purchase Agreement) and the Company’s receipt of a Price Threshold Waiver (as defined in the Purchase Agreement) (together, the “Second Closing Trigger”). Pursuant to the Purchase Agreement, the Second Closing occurred on August 3, 2026. At the Second Closing, the Company sold to the selling stockholders 10,756,498 shares of Common Stock at a purchase price of $1.53 per share, 21,925,368 Pre-Funded Warrants at a purchase price of $1.5299 per Pre-Funded Warrant to certain investors in lieu of shares of Common Stock, and 39,306 shares of Common Stock at a purchase price of $1.65 per share to certain directors, consultants and members of management of the Company. The gross proceeds of the Second Closing were approximately $50.1 million, before deducting placement agent fees and other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the selling stockholders entered into a Registration Rights Agreement, dated September 9, 2025 (the “Registration Rights Agreement”), providing for the registration for resale of the shares of our Common Stock and the shares of Common Stock issuable upon exercise of the 2026 Pre-Funded Warrants sold in connection with the Private Placement. The Company agreed to file the registration statement of which this prospectus is a part, registering such shares with the SEC, no later than September 2, 2026. The Company has agreed to use reasonable best efforts to keep such registration statement continuously effective pursuant to Rule 415 promulgated under the Securities Act of 1933, as amended (the “Securities Act”) from the date on which the SEC declares the registration statement to be effective until the earlier of (i) the date on which the selling stockholders shall have resold all the Registrable Securities (as such term is defined in the Registration Rights Agreement) covered thereby and (ii) the date on which the Registrable Securities may be resold by the selling stockholders without registration and without regard to any volume or manner-of-sale limitations by reason of Rule 144 (“Rule 144”) as promulgated by the SEC under the Securities Act and without current public information pursuant to Rule 144.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description of our capital stock is incorporated by reference to Exhibit 4.1 of our Annual Report on Form 10-K for the year ended December 31, 2025, as filed with the SEC on March 5, 2026.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Pre-Funded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material terms and provisions of the 2026 Pre-Funded Warrants to purchase shares of Common Stock are summarized below. This summary is subject to and qualified in its entirety by the form of pre-funded warrant, which was filed with the SEC as an exhibit to our Current Report on Form 8-K on September 10, 2025. </w:t>
      </w:r>
    </w:p>
    <w:p>
      <w:pPr>
        <w:pStyle w:val="TextBody"/>
        <w:bidi w:val="0"/>
        <w:spacing w:lineRule="auto" w:line="288" w:before="0" w:after="180"/>
        <w:jc w:val="left"/>
        <w:rPr/>
      </w:pPr>
      <w:r>
        <w:rPr>
          <w:rFonts w:ascii="Times New Roman;serif" w:hAnsi="Times New Roman;serif"/>
          <w:b w:val="false"/>
          <w:i/>
          <w:color w:val="000000"/>
          <w:sz w:val="20"/>
        </w:rPr>
        <w:t>Exercisability</w:t>
      </w:r>
      <w:r>
        <w:rPr>
          <w:rFonts w:ascii="Times New Roman;serif" w:hAnsi="Times New Roman;serif"/>
          <w:b w:val="false"/>
          <w:color w:val="000000"/>
          <w:sz w:val="20"/>
        </w:rPr>
        <w:t xml:space="preserve">. Holders may exercise the 2026 Pre-Funded Warrants at any time or from time to time until exercised in full. As further described under “Selling Stockholders,” notwithstanding the foregoing, certain holders will be prohibited from exercising the 2026 Pre-Funded Warrants into shares of our Common Stock if, as a result of such exercise, the holder, together with its affiliates, would own more than a specific percentage (initially, 4.99% or 9.99%, as determined by the holder) of the total number of shares of our Common Stock then issued and outstanding; provided, however that a holder may from time to time increase or decrease such maximum percentage to any other percentage not in excess of 19.99% by giving 61 days’ notice to the Company (the “Beneficial Ownership Limitation”). The 2026 Pre-Funded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w:t>
      </w:r>
    </w:p>
    <w:p>
      <w:pPr>
        <w:pStyle w:val="TextBody"/>
        <w:bidi w:val="0"/>
        <w:spacing w:lineRule="auto" w:line="288" w:before="0" w:after="180"/>
        <w:jc w:val="left"/>
        <w:rPr/>
      </w:pPr>
      <w:r>
        <w:rPr>
          <w:rFonts w:ascii="Times New Roman;serif" w:hAnsi="Times New Roman;serif"/>
          <w:b w:val="false"/>
          <w:i/>
          <w:color w:val="000000"/>
          <w:sz w:val="20"/>
        </w:rPr>
        <w:t>Exercise Price</w:t>
      </w:r>
      <w:r>
        <w:rPr>
          <w:rFonts w:ascii="Times New Roman;serif" w:hAnsi="Times New Roman;serif"/>
          <w:b w:val="false"/>
          <w:color w:val="000000"/>
          <w:sz w:val="20"/>
        </w:rPr>
        <w:t xml:space="preserve">. The exercise price upon exercise of each 2026 Pre-Funded Warrant is $0.0001 per share of Common Stock, with an aggregate exercise price of $1.53 per share of Common Stock, of which $1.5299 per share of Common Stock was paid by the holders at the closing. The exercise price of the 2026 Pre-Funded Warrants is subject to appropriate adjustment in the event of stock dividends, subdivisions, stock splits, stock combinations, cash distributions, reclassifications, exchanges, combinations or substitutions affecting our Common Stock. </w:t>
      </w:r>
    </w:p>
    <w:p>
      <w:pPr>
        <w:pStyle w:val="TextBody"/>
        <w:bidi w:val="0"/>
        <w:spacing w:lineRule="auto" w:line="288" w:before="0" w:after="180"/>
        <w:jc w:val="left"/>
        <w:rPr/>
      </w:pPr>
      <w:r>
        <w:rPr>
          <w:rFonts w:ascii="Times New Roman;serif" w:hAnsi="Times New Roman;serif"/>
          <w:b w:val="false"/>
          <w:i/>
          <w:color w:val="000000"/>
          <w:sz w:val="20"/>
        </w:rPr>
        <w:t>Payment of Exercise Price</w:t>
      </w:r>
      <w:r>
        <w:rPr>
          <w:rFonts w:ascii="Times New Roman;serif" w:hAnsi="Times New Roman;serif"/>
          <w:b w:val="false"/>
          <w:color w:val="000000"/>
          <w:sz w:val="20"/>
        </w:rPr>
        <w:t xml:space="preserve">. The 2026 Pre-Funded Warrant holders have the option to provide payment of the exercise price of the shares being acquired upon exercise of the 2026 Pre-Funded Warrants (i) by payment acceptable to us or (ii) by cashless exercise. </w:t>
      </w:r>
    </w:p>
    <w:p>
      <w:pPr>
        <w:pStyle w:val="TextBody"/>
        <w:bidi w:val="0"/>
        <w:spacing w:lineRule="auto" w:line="288" w:before="0" w:after="180"/>
        <w:jc w:val="left"/>
        <w:rPr/>
      </w:pPr>
      <w:r>
        <w:rPr>
          <w:rFonts w:ascii="Times New Roman;serif" w:hAnsi="Times New Roman;serif"/>
          <w:b w:val="false"/>
          <w:i/>
          <w:color w:val="000000"/>
          <w:sz w:val="20"/>
        </w:rPr>
        <w:t>Cashless Exercise</w:t>
      </w:r>
      <w:r>
        <w:rPr>
          <w:rFonts w:ascii="Times New Roman;serif" w:hAnsi="Times New Roman;serif"/>
          <w:b w:val="false"/>
          <w:color w:val="000000"/>
          <w:sz w:val="20"/>
        </w:rPr>
        <w:t xml:space="preserve">. In lieu of making the cash payment otherwise contemplated to be made to us upon such exercise in payment of the aggregate exercise price, the holders of 2026 Pre-Funded Warrants may elect instead to receive upon such exercise the net number of shares of Common Stock determined according to a formula set forth in the 2026 Pre-Funded Warrant. </w:t>
      </w:r>
    </w:p>
    <w:p>
      <w:pPr>
        <w:pStyle w:val="TextBody"/>
        <w:bidi w:val="0"/>
        <w:spacing w:lineRule="auto" w:line="288" w:before="0" w:after="180"/>
        <w:jc w:val="left"/>
        <w:rPr/>
      </w:pPr>
      <w:r>
        <w:rPr>
          <w:rFonts w:ascii="Times New Roman;serif" w:hAnsi="Times New Roman;serif"/>
          <w:b w:val="false"/>
          <w:i/>
          <w:color w:val="000000"/>
          <w:sz w:val="20"/>
        </w:rPr>
        <w:t>Transferability</w:t>
      </w:r>
      <w:r>
        <w:rPr>
          <w:rFonts w:ascii="Times New Roman;serif" w:hAnsi="Times New Roman;serif"/>
          <w:b w:val="false"/>
          <w:color w:val="000000"/>
          <w:sz w:val="20"/>
        </w:rPr>
        <w:t xml:space="preserve">. Subject to applicable laws and the restriction on transfer set forth in the 2026 Pre-Funded Warrants, the 2026 Pre-Funded Warrants may be transferred. </w:t>
      </w:r>
    </w:p>
    <w:p>
      <w:pPr>
        <w:pStyle w:val="TextBody"/>
        <w:bidi w:val="0"/>
        <w:spacing w:lineRule="auto" w:line="288" w:before="0" w:after="180"/>
        <w:jc w:val="left"/>
        <w:rPr/>
      </w:pPr>
      <w:r>
        <w:rPr>
          <w:rFonts w:ascii="Times New Roman;serif" w:hAnsi="Times New Roman;serif"/>
          <w:b w:val="false"/>
          <w:i/>
          <w:color w:val="000000"/>
          <w:sz w:val="20"/>
        </w:rPr>
        <w:t>Fundamental Transactions</w:t>
      </w:r>
      <w:r>
        <w:rPr>
          <w:rFonts w:ascii="Times New Roman;serif" w:hAnsi="Times New Roman;serif"/>
          <w:b w:val="false"/>
          <w:color w:val="000000"/>
          <w:sz w:val="20"/>
        </w:rPr>
        <w:t xml:space="preserve">. Upon the consummation of a fundamental transaction (as described in the 2026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a holder of the 2026 Pre-Funded Warrants will be entitled to receive, upon exercise of the 2026 Pre-Funded Warrants, the same kind and amount of securities, cash or other property that such holder would have received had they exercised the 2026 Pre-Funded Warrants immediately prior to such fundamental transaction, without regard to any limitations on exercise contained in the 2026 Pre-Funded Warrants. </w:t>
      </w:r>
    </w:p>
    <w:p>
      <w:pPr>
        <w:pStyle w:val="TextBody"/>
        <w:bidi w:val="0"/>
        <w:spacing w:lineRule="auto" w:line="288" w:before="0" w:after="180"/>
        <w:jc w:val="left"/>
        <w:rPr/>
      </w:pPr>
      <w:r>
        <w:rPr>
          <w:rFonts w:ascii="Times New Roman;serif" w:hAnsi="Times New Roman;serif"/>
          <w:b w:val="false"/>
          <w:i/>
          <w:color w:val="000000"/>
          <w:sz w:val="20"/>
        </w:rPr>
        <w:t>Rights as a Stockholder</w:t>
      </w:r>
      <w:r>
        <w:rPr>
          <w:rFonts w:ascii="Times New Roman;serif" w:hAnsi="Times New Roman;serif"/>
          <w:b w:val="false"/>
          <w:color w:val="000000"/>
          <w:sz w:val="20"/>
        </w:rPr>
        <w:t xml:space="preserve">. Except for the right to participate in certain dividends and distributions and as otherwise provided in the 2026 Pre-Funded Warrants or by virtue of a holder’s ownership of our Common Stock, the holders of the 2026 Pre-Funded Warrants do not have the rights or privileges of holders of our Common Stock, including any voting rights, until they exercise their 2026 Pre-Funded Warrants. </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i/>
          <w:color w:val="000000"/>
          <w:sz w:val="20"/>
        </w:rPr>
        <w:t>Waivers and Amendments</w:t>
      </w:r>
      <w:r>
        <w:rPr>
          <w:rFonts w:ascii="Times New Roman;serif" w:hAnsi="Times New Roman;serif"/>
          <w:b w:val="false"/>
          <w:color w:val="000000"/>
          <w:sz w:val="20"/>
        </w:rPr>
        <w:t>. No term of the 2026 Pre-Funded Warrants may be amended or waived without the written consent of the holder of such 2026 Pre-Funded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 AND INDUSTRY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any prospectus supplement, any free writing prospectus and the other documents we have filed with the SEC that are incorporated herein by reference, contain forward-looking statements that involve substantial risks and uncertainties because they relate to events and depend on circumstances that may or may not occur in the future. All statements other than statements of historical fact contained in this prospectus, including statements regarding our strategy, future operations, future financial position, prospects, plans, objectives of management and expected growth, are forward-looking statements. These statements are based on our current beliefs, expectations and assumptions regarding our intentions, beliefs or current expectations concerning, among other things, the future of our business, future plans and strategies, our operational results and other future conditions.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initiation, timing, progress, results and costs of our research and development programs and of our current and future preclinical studies and clinical trials of our product candidates, including statements regarding the timing of initiation and completion of studies or trials and related preparatory work, as well as the period during which the results of the trials are expected to become available;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our planned regulatory submissions, initiation of planned clinical trials and timing of expected clinical results for our current and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any submissions of filings for regulatory approval of, and our ability to obtain and maintain regulatory approvals for,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maintain the benefits of regulatory designations, including orphan drug designation, for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identify patients with the diseases treated by our product candidates, and to enroll patients in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size of the patient populations, market acceptance and opportunity for and clinical utility of our product candidates, if approved for commercial 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 party manufacturing partners to comply with significant regulations with respect to manufacturing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scope of any approved indication for any product candidate;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commercialize our product candidates, if approved;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leverage our RAP Platform to identify and develop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estimates of our expenses, ongoing losses, future revenue, capital requirements and our need for or ability to obtain additional funding before we can expect to generate any revenue from product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or maintain strategic collaborations or arrangements, including potential business development opportunities and potential licensing partnerships, and our ability to attract collaborators with development, regulatory and commercialization expertise;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identify, recruit and retain key personnel;</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upon intellectual property licensed from third parties and our ability to obtain such licenses on commercially reasonable terms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and enforce our intellectual property position for our product candidates, and the scope of such protection;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sufficiency of our existing cash and cash equivalents to fund our future operating expenses and capital expenditure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competitive position and the development of and projections relating to our competitors or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estimates regarding future expenses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laws and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changes in international trade policies and general economic, industry, geopolitical and market conditions, such as uncertainties related to military conflict or war, tariffs (including tariffs that have been or may in the future be imposed by the United States or other countries), sanctions, trade protection measures or other trade barriers, inflation and financial institution instability, or pandemic or epidemic disease outbreaks, many of which are beyond our control, as well as the value of our common stock and our ability to access capital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and smaller reporting company under the Jumpstart Our Business Startups Act of 2012.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prospectus. In addition, even if our results of operations, financial condition and liquidity, and the development of the industry in which we operate are consistent with the forward-looking statements contained in this prospectus, those results or developments may not be indicative of results or developments in subsequent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Any forward-looking statement that we make in this prospectus speaks only as of the date of such statement.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Comparisons of results for current and any prior periods are not intended to express any future trends or indications of future performance, unless specifically expressed as such, and should only be viewed as historical data. You should, therefore, not rely on these forward-looking statements as representing our views as of any date subsequent to the date 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market and industry data contained in this prospectus,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prospectus is reliable, and we are responsible for the accuracy of such information, we have not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the section “Risk Factors” in this prospectus, in our Annual Report on Form 10-K for the year ended December 31, 2025, and in our subsequent filings with the SEC. These and other factors could cause our future performance to differ materially from our assumptions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shares of Common Stock offered by the selling stockholders pursuant to this prospectus will be sold by the selling stockholders for their respective accounts. We will not receive any of the proceeds from these sales.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will bear all discounts and commissions, if any, and expenses incurred by them for brokerage, accounting, tax or legal services or any other expenses incurred in disposing of the Common Stock. We will bear the costs, fees and expenses incurred in effecting the registration of the shares covered by this prospectus, including, without limitation, all registration and filing fees, Nasdaq listing fees and fees and expenses of our counsel and our independent registered public accounting firm.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receive proceeds from the exercise of the 2026 Pre-Funded Warrants to the extent any are exercised for cash but not from the sale of the shares of Common Stock issuable upon such exercise. If any of the 2026 Pre-Funded Warrants are exercised on a net exercise cashless basis, we would not receive any cash payment from the applicable selling stockholder upon any such exercise. Unless otherwise disclosed in a prospectus supplement, we intend to use any net proceeds from the exercise of 2026 Pre-Funded Warrants to fund the preclinical and clinical development of CMP-002, and for working capital and other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Registration Rights Agreement, we agreed to (i) file the registration statement of which this prospectus is a part to cover the resale of the shares of Common Stock and the shares of Common Stock issuable upon exercise of the 2026 Pre-Funded Warrants, which the selling stockholders acquired as part of the Second Closing pursuant to the Purchase Agreement and (ii) to use reasonable best efforts to keep such registration statement continuously effective pursuant to Rule 415 promulgated under the Securities Act from the date on which the SEC declares the registration statement to be effective until the earlier of (x) the date on which the selling stockholders shall have resold all the Registrable Securities (as such term is defined in the Registration Rights Agreement) covered thereby, and (y) the date on which the Registrable Securities may be resold by the selling stockholders without registration and without regard to any volume or manner-of-sale limitations by reason of Rule 144 and without current public information pursuant to Rule 144.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registering the resale of the above-referenced securities to permit each of the selling stockholders identified below, or their permitted transferees or other successors-in-interest that may be identified in a supplement to this prospectus or, if required, a post-effective amendment to the registration statement of which this prospectus is a part to resell or otherwise dispose of the securities in the manner contemplated under “Plan of Distribution” in this prospectus (as may be supplemented and amended). This prospectus covers the sale or other disposition by the selling stockholders of up to the total number of shares of Common Stock that were issued or issuable upon exercise of the 2026 Pre-Funded Warrants issued to the selling stockholders in the Second Closing of the Private Placement. Throughout this prospectus, when we refer to the securities being registered on behalf of the selling stockholders, we are referring to the shares of Common Stock or shares of Common Stock issuable upon the exercise of the 2026 Pre-Funded Warrants issued in the Second Closing pursuant to the Purchase Agreement. When we refer to “selling stockholders” in this prospectus, we mean those persons listed in the table below, as well as their permitted transferees, pledgees or donees or other successors-in-interest that may be identified in a supplement to this prospectus or, if required, a post-effective amendment to the registration statement of which this prospectus is a part. The selling stockholders may sell some, all or none of their shares of Common Stock. We do not know for how long the selling stockholders will hold the shares before selling them, and we currently have no agreements, arrangements or understandings with the selling stockholders regarding the sale or other disposition of any of the shares. The shares of Common Stock covered hereby may be offered from time to time by the selling stockholders.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regarding shares beneficially owned after the offering assumes the sale of all shares of Common Stock offered by the selling stockholders. To our knowledge, subject to community property laws where applicable, each person named in the table has sole voting and investment power with respect to the shares of Common Stock set forth opposite such person’s name.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name of each selling stockholder, the number and percentage of shares of Common Stock beneficially owned by the selling stockholders as of August 3, 2026, the number of shares of Common Stock that may be offered under this prospectus, and the number and percentage of Common Stock beneficially owned by the selling stockholders, assuming all of the shares of Common Stock registered hereunder are sold. Beneficial ownership is determined in accordance with the rules of the SEC and includes voting or investment power with respect to the Common Stock. Generally, a person “beneficially owns” shares of the Common Stock if the person has or shares with others the right to vote those shares or to dispose of them, or if the person has the right to acquire voting or disposition rights within 60 days of August 3,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described under the column “Shares of Common Stock Beneficially Owned Prior to this Offering” for each selling stockholder includes all shares of our Common Stock beneficially held by such selling stockholder as of August 3, 2026, which includes (i) all shares of our Common Stock purchased by such selling stockholder in the Second Closing, and (ii) all of the shares of Common Stock issuable upon exercise of the 2026 Pre-Funded Warrants purchased by such selling stockholder in the Second Closing, not reflecting the Beneficial Ownership Limitation. Because each selling stockholder may dispose of all, none or some portion of their shares of Common Stock, no estimate can be given as to the number of shares that will be beneficially owned by a selling stockholder upon termination of this offering. </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purposes of the table below, however, we have assumed that after termination of this offering none of the shares covered by this prospectus will be beneficially owned by the selling stockholders and further assumed that the selling stockholders will not acquire or dispose of beneficial ownership of any additional shares of Common Stock during the offering. In addition, the selling stockholders may have sold, transferred or otherwise disposed of, or may sell, transfer or otherwise dispose of, at any time and from time to time, any or all of their shares of Common Stock or interests in shares of Common Stock in transactions exempt from the registration requirements of the Securities Act after the date on which the information in the table is presented. See the section titled “Plan of Distribution.”</w:t>
      </w:r>
    </w:p>
    <w:tbl>
      <w:tblPr>
        <w:tblW w:w="10205" w:type="dxa"/>
        <w:jc w:val="left"/>
        <w:tblInd w:w="0" w:type="dxa"/>
        <w:tblLayout w:type="fixed"/>
        <w:tblCellMar>
          <w:top w:w="28" w:type="dxa"/>
          <w:left w:w="28" w:type="dxa"/>
          <w:bottom w:w="28" w:type="dxa"/>
          <w:right w:w="28" w:type="dxa"/>
        </w:tblCellMar>
      </w:tblPr>
      <w:tblGrid>
        <w:gridCol w:w="985"/>
        <w:gridCol w:w="640"/>
        <w:gridCol w:w="652"/>
        <w:gridCol w:w="109"/>
        <w:gridCol w:w="109"/>
        <w:gridCol w:w="109"/>
        <w:gridCol w:w="1059"/>
        <w:gridCol w:w="754"/>
        <w:gridCol w:w="756"/>
        <w:gridCol w:w="109"/>
        <w:gridCol w:w="109"/>
        <w:gridCol w:w="109"/>
        <w:gridCol w:w="775"/>
        <w:gridCol w:w="460"/>
        <w:gridCol w:w="461"/>
        <w:gridCol w:w="109"/>
        <w:gridCol w:w="109"/>
        <w:gridCol w:w="109"/>
        <w:gridCol w:w="601"/>
        <w:gridCol w:w="375"/>
        <w:gridCol w:w="168"/>
        <w:gridCol w:w="168"/>
        <w:gridCol w:w="168"/>
        <w:gridCol w:w="168"/>
        <w:gridCol w:w="294"/>
        <w:gridCol w:w="241"/>
        <w:gridCol w:w="499"/>
      </w:tblGrid>
      <w:tr>
        <w:trPr/>
        <w:tc>
          <w:tcPr>
            <w:tcW w:w="98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27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Name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Shares of Common Stock Beneficially Owned Prior to this Offering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 of Common Stock Offered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Beneficial Ownership After this Offering</w:t>
            </w:r>
            <w:r>
              <w:rPr>
                <w:rFonts w:ascii="Times New Roman;serif" w:hAnsi="Times New Roman;serif"/>
                <w:b/>
                <w:color w:val="000000"/>
                <w:sz w:val="10"/>
              </w:rPr>
              <w:t>(4)</w:t>
            </w:r>
          </w:p>
        </w:tc>
      </w:tr>
      <w:tr>
        <w:trPr/>
        <w:tc>
          <w:tcPr>
            <w:tcW w:w="22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r>
      <w:tr>
        <w:trPr/>
        <w:tc>
          <w:tcPr>
            <w:tcW w:w="2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Coastlands Capital Partners LP</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12,850,128 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6,765,264 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6,084,864 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Janus Henderson</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12,995,351 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6,687,715 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6,307,636 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Atlas Private Holdings (Cayman) Ltd</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8,194,447 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4,458,477 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3,735,970 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Vivo Opportunity Fund</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8,705,046 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4,458,478 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4,246,568 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5AM Ventures VII, L.P.</w:t>
            </w:r>
            <w:r>
              <w:rPr>
                <w:color w:val="000000"/>
              </w:rPr>
              <w:t xml:space="preserve">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9,048,649 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3,179,558 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5,869,091 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Adage Capital Partners, LP</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4,190,023 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2,229,239 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Trails Edge Biotechnology Master Fund, LP</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3,790,636 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1,857,699 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1,932,937 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Stonepine Capital, LP</w:t>
            </w:r>
            <w:r>
              <w:rPr>
                <w:rFonts w:ascii="Times New Roman;serif" w:hAnsi="Times New Roman;serif"/>
                <w:b w:val="false"/>
                <w:color w:val="000000"/>
                <w:sz w:val="13"/>
              </w:rPr>
              <w:t>(12)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2,823,349 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1,486,160 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Funds affiliated with SilverArc Capital</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1,396,671 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SynGAP Research Fund, Inc. dba CURE SYNGAP1</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680,080 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Skye Peak Partners LLC</w:t>
            </w:r>
            <w:r>
              <w:rPr>
                <w:rFonts w:ascii="Times New Roman;serif" w:hAnsi="Times New Roman;serif"/>
                <w:b w:val="false"/>
                <w:color w:val="000000"/>
                <w:sz w:val="13"/>
              </w:rPr>
              <w:t>(15)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544,063 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Red Hook Fund LP</w:t>
            </w:r>
            <w:r>
              <w:rPr>
                <w:rFonts w:ascii="Times New Roman;serif" w:hAnsi="Times New Roman;serif"/>
                <w:b w:val="false"/>
                <w:color w:val="000000"/>
                <w:sz w:val="13"/>
              </w:rPr>
              <w:t>(16)</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149,666 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Jeremy M Sclar 2012 Irrevocable Family Trust</w:t>
            </w:r>
            <w:r>
              <w:rPr>
                <w:rFonts w:ascii="Times New Roman;serif" w:hAnsi="Times New Roman;serif"/>
                <w:b w:val="false"/>
                <w:color w:val="000000"/>
                <w:sz w:val="13"/>
              </w:rPr>
              <w:t>(17)</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287,478 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Peter Tuxen Bisgaard</w:t>
            </w:r>
            <w:r>
              <w:rPr>
                <w:rFonts w:ascii="Times New Roman;serif" w:hAnsi="Times New Roman;serif"/>
                <w:b w:val="false"/>
                <w:color w:val="000000"/>
                <w:sz w:val="13"/>
              </w:rPr>
              <w:t>(18)</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Richard Young</w:t>
            </w:r>
            <w:r>
              <w:rPr>
                <w:rFonts w:ascii="Times New Roman;serif" w:hAnsi="Times New Roman;serif"/>
                <w:b w:val="false"/>
                <w:color w:val="000000"/>
                <w:sz w:val="13"/>
              </w:rPr>
              <w:t>(19)</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295,759 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Josh Mandel-Brehm</w:t>
            </w:r>
            <w:r>
              <w:rPr>
                <w:rFonts w:ascii="Times New Roman;serif" w:hAnsi="Times New Roman;serif"/>
                <w:b w:val="false"/>
                <w:color w:val="000000"/>
                <w:sz w:val="13"/>
              </w:rPr>
              <w:t>(20)</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919,508 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Kelly Gold</w:t>
            </w:r>
            <w:r>
              <w:rPr>
                <w:rFonts w:ascii="Times New Roman;serif" w:hAnsi="Times New Roman;serif"/>
                <w:b w:val="false"/>
                <w:color w:val="000000"/>
                <w:sz w:val="13"/>
              </w:rPr>
              <w:t>(21)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278,803 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Yuri Maricich</w:t>
            </w:r>
            <w:r>
              <w:rPr>
                <w:rFonts w:ascii="Times New Roman;serif" w:hAnsi="Times New Roman;serif"/>
                <w:b w:val="false"/>
                <w:color w:val="000000"/>
                <w:sz w:val="13"/>
              </w:rPr>
              <w:t>(22)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140,373 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Leonard Zon</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one percent of outstanding Common Stock</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(1)All information regarding selling stockholders was provided by the selling stockholders.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(2)The number of shares of Common Stock in the column “Shares of Common Stock Offered” represents all of the shares of Common Stock that a selling stockholder may offer and sell from time to time under this prospectus, including (i) all shares of Common Stock purchased by such selling stockholder in the Second Closing and (ii) all of the shares of Common Stock issuable upon exercise of the 2026 Pre-Funded Warrants purchased by such selling stockholder in the Second Closing, without giving effect to the Beneficial Ownership Limitation, if any.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(3)Percentage ownership is based on a denominator equal to the sum of (i) 62,753,200 shares of Common Stock outstanding as of August 3, 2026 and (ii) the number of shares of Common Stock issuable upon exercise or conversion of convertible securities beneficially owned by the applicable selling stockholder.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(4)Assumes that all shares of Common Stock being registered under the registration statement of which this prospectus forms a part are sold in this offering, and that none of the selling stockholders acquire additional shares of our Common Stock after the date of this prospectus and prior to completion of this offering. </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(5)The shares reported under “Shares of Common Stock Beneficially Owned Prior to this Offering” consist of 6,765,264 shares of Common Stock issuable upon the exercise of 2026 Pre-Funded Warrants (which does not reflect the beneficial ownership conversion limitation described below) purchased by Coastlands Capital Partners LP (“Coastlands Capital”) in the Second Closing. The pre-funded warrants, including the 2026 Pre-Funded Warrants, held by Coastlands Capital are subject to a beneficial ownership conversion limitation such that Coastlands Capital cannot convert pre-funded warrants held by it to the extent it would result in Coastlands Capital and its affiliates beneficially owning more than 9.99% of the Company’s outstanding shares of Common Stock. Coastlands Capital LP is the investment adviser to Coastlands Capital and Coastlands Capital GP LLC (“Coastlands GP”) is the general partner of Coastlands Capital. Coastlands Capital LLC (the “General Partner”, and together with Coastlands Capital, Coastlands Capital LP and Coastlands GP, the “Coastlands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Entities”) is the general partner of Coastlands Capital LP. Matthew D. Perry is the control person of the Coastlands Entities. The Coastlands Entities and Mr. Perry each disclaims membership in a group. The Coastlands Entities and Mr. Perry also each disclaims beneficial ownership of the shares of Common Stock except to the extent of such entity or person’s pecuniary interest therein. The address and principal office of the Coastlands Entities and Mr. Perry is 601 California St., Suite 1210, San Francisco, CA 94108.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(6)The shares reported under “Shares of Common Stock Beneficially Owned Prior to this Offering” include (i) 1,211,226 shares of Common Stock and 4,259,104 shares of Common Stock issuable upon the exercise of 2026 Pre-Funded Warrants (which does not reflect the beneficial ownership conversion limitation described below) purchased by Janus Henderson Biotech Innovation Master Fund Limited (“JHBIF”) in the Second Closing, and (ii) 269,551 shares of Common Stock and 947,834 shares of Common Stock issuable upon the exercise of 2026 Pre-Funded Warrants (which does not reflect the beneficial ownership conversion limitation described below) purchased by Janus Henderson Biotech Innovation Master Fund II Limited (“JHBIF2”) in the Second Closing. The pre-funded warrants held by JHBIF and JHBIF2 (collectively, the “Janus Funds”), including the 2025 Pre-Funded Warrants purchased by the Janus Funds in the Initial Closing, prohibit the exercise thereof if, after giving effect to such exercise, the beneficial ownership of the Janus Funds and their affiliates and any person whose beneficial ownership would be attributable to such entities would exceed 9.99%. These shares may be deemed to be beneficially owned by Janus Henderson Investors US LLC (“Janus”), an investment adviser registered under the Investment Advisers Act of 1940, who acts as investment adviser for the Janus Funds and has the ability to make decisions with respect to the voting and disposition of the shares subject to the oversight of the board of directors of the Janus Funds. Under the terms of its management contract with the Janus Funds, Janus has overall responsibility for directing the investments of the Janus Funds in accordance with the Janus Funds’ investment objective, policies and limitations. The Janus Funds have one or more portfolio managers appointed by and serving at the pleasure of Janus who makes decisions with respect to the disposition of the shares of Common Stock offered hereby. The portfolio managers for the Janus Funds are Andrew Acker, Daniel S. Lyons and Agustin Mohedas. Each of Mr. Acker, Mr. Lyons and Mr. Mohedas disclaims any beneficial ownership of these shares. The address of Janus and each of the Janus Funds is c/o Janus Henderson Investors US LLC, 151 Detroit Street, Denver, CO 80206.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(7)The shares reported under “Shares of Common Stock Beneficially Owned Prior to this Offering” include 805,804 shares of Common Stock and 3,652,673 shares of Common Stock issuable upon the exercise of 2026 Pre-Funded Warrants (which does not reflect the beneficial ownership conversion limitation described below) purchased by Atlas Private Holdings (Cayman) Ltd. (“Atlas”) in the Second Closing. The pre-funded warrants held by Atlas, including the 2025 Pre-Funded Warrants purchased by Atlas in the Initial Closing, are subject to a beneficial ownership conversion limitation such that Atlas cannot convert the 2025 Pre-Funded Warrants or the 2026 Pre-Funded Warrants held by it to the extent it would result in Atlas and its affiliates beneficially owning more than 4.99% of the Company’s outstanding shares of Common Stock. Balyasny Asset Management L.P. (“BAM”) serves as investment adviser to Atlas. Dmitry Balyasny, via intermediate entities, manages and has voting and investment control over the reported securities. The address and principal office of Atlas is 444 West Lake Street, 50th Floor, Chicago, IL 60606.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(8)The shares reported under “Shares of Common Stock Beneficially Owned Prior to this Offering” include (i) 4,776,626 shares of Common Stock and 2,834,612 shares of Common Stock issuable upon the exercise of 2026 Pre-Funded Warrants (which does not reflect the beneficial ownership conversion limitation described below) purchased by Vivo Opportunity Fund Holdings, L.P. (“Vivo”) in the Private Placement, including 1,214,833 shares of Common Stock purchased in the Second Closing, (ii) 482,485 shares of Common Stock and 286,323 shares of Common Stock issuable upon the exercise of 2026 Pre-Funded Warrants (which does not reflect the beneficial ownership conversion limitation described below) purchased by Vivo Opportunity Cayman Fund, L.P. (“Vivo Cayman,” and together with Vivo, the “Vivo Opportunity Funds”) in the Private Placement, including 122,710 shares of Common Stock purchased in the Second Closing, (iii) 295,198 shares of Common Stock previously purchased by Vivo and (iv) 29,802 shares of Common Stock previously purchased by Vivo Cayman. The 2026 Pre-Funded Warrants held by the Vivo Opportunity Funds are subject to a beneficial ownership conversion limitation such that the Vivo Opportunity Funds cannot convert the 2026 Pre-Funded Warrants held by them to the extent it would result in the Vivo Opportunity Funds and their affiliates beneficially owning more than 9.99% of the Company’s outstanding shares of Common Stock. Vivo Opportunity, LLC is the general partner of Vivo and may be deemed to share voting, investment and dispositive power over the shares held by Vivo. Vivo Opportunity Cayman, LLC is the general partner of Vivo Cayman and may be deemed to share voting, investment and dispositive power over the shares held by Vivo Cayman. The voting members of each of Vivo Opportunity, LLC and Vivo Opportunity Cayman, LLC are Kevin Dai, Gaurav Aggarwal, Frank Kung and Shan Fu, none of whom has individual voting or investment power with respect to the shares held by Vivo or Vivo Cayman. The address of each of the individuals and entities referenced in this footnote is c/o Vivo Capital LLC, 192 Lytton Avenue, Palo Alto, California 94301.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(9)The shares reported under “Shares of Common Stock Beneficially Owned Prior to this Offering” include (i) 6,120,734 shares of Common Stock purchased by 5AM Ventures VII, L.P. (“Ventures VII”) in the Private Placement, including 3,179,558 shares of Common Stock issuable upon the exercise of 2026 Pre-Funded Warrants (which does not reflect the beneficial ownership conversion limitation described below) purchased by Ventures VII in the Second Closing, (ii) 2,625,145 shares of Common Stock previously purchased by 5AM Ventures VI, L.P. (“Ventures VI”) and (iii) 302,770 shares of Common Stock previously purchased by 5AM Opportunities II, L.P. (“Opportunities II”). The 2026 Pre-Funded Warrants held by Ventures VII are subject to a beneficial ownership conversion limitation such that Ventures VII cannot convert the 2026 Pre-Funded Warrants held by it to the extent it would result in Ventures VII and its affiliates beneficially owning more than 9.99% of the Company’s outstanding shares of Common Stock. 5AM Partners VII, LLC (“Partners VII”) is the sole general partner of Ventures VII. 5AM Partners VI, LLC (“Partners VI”) is the sole general partner of Ventures VI. 5AM Opportunities II (GP), LLC (“Opportunities II GP”) is the sole general partner of Opportunities II. Dr. Kush M. Parmar and Andrew J. Schwab are the managing members of Partners VII, Partners VI and Opportunities II GP and may be deemed to have shared voting and investment power over the securities beneficially owned by Ventures VII, Ventures VI and Opportunities II. Each of Partners VII, Partners VI, Opportunities II, Dr. Parmar, and Mr. Schwab disclaims beneficial ownership of such securities except to the extent of its or his respective pecuniary interest therein. Mr. Schwab is a member of the Company’s board of directors. The address and principal office of the persons and entities referenced in this footnote is c/o 5AM Ventures, 4 Embarcadero Center, Suite 3110, San Francisco, CA 94111.</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(10)The shares reported under “Shares of Common Stock Beneficially Owned Prior to this Offering” consist of 4,190,023 shares of Common Stock purchased by Adage Capital Partners, L.P. in the Private Placement, including 2,229,239 shares of Common Stock purchased in the Second Closing. Bob Atchinson and Phillip Gross are the managing members of Adage Capital Advisors, L.L.C., which is the managing member of Adage Capital Partners GP, L.L.C., which is the general partner of Adage, and each such person or entity, as the case may be, </w:t>
      </w: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 The address of these funds and persons is 200 Clarendon St., 52nd Floor, Boston, MA 02116.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(11)The shares reported under “Shares of Common Stock Beneficially Owned Prior to this Offering” consist of (i) 3,491,685 shares of Common Stock purchased by Trails Edge Biotechnology Master Fund, LP (“Trails Edge Biotechnology”) in the Private Placement, including 1,857,699 shares of Common Stock purchased in the Second Closing, and (ii) 298,951 shares of Common Stock previously purchased by Trails Edge Biotechnology. Trails Edge Capital Partners, LP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such securities. The address of these funds and persons is 3445 Peachtree Road NE, Suite 900, Atlanta, GA 30326.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(12)The shares reported under “Shares of Common Stock Beneficially Owned Prior to this Offering” include (i) 1,486,160 shares of Common Stock purchased by Stonepine Capital, LP (“Stonepine Capital”) in the Second Closing and (ii) 70,000 shares of Common Stock previously purchased by Stonepine Capital. Stonepine Capital purchased an aggregate of 2,793,349 shares of Common Stock in the Private Placement. Jon M. Plexico exercises voting and investment discretion with respect to these securities and as such may be deemed to beneficially own the shares held by Stonepine Capital. The address of these funds and persons is 2900 NW Clearwater Drive, Ste 100-11, Bend, OR 97703.</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(13)The shares reported under “Shares of Common Stock Beneficially Owned Prior to this Offering” consist of (i) 37,689 shares of Common Stock purchased by SilverArc Capital Alpha Fund I, L.P. (“Fund I”) in the Private Placement, including 20,063 shares of Common Stock purchased in the Second Closing, (ii) 353,402 shares of common stock purchased by Squarepoint Diversified Partners Fund Limited (“Squarepoint”) in the Private Placement, including 187,998 shares of Common Stock purchased in the Second Closing, and (iii) 1,005,580 shares of common stock purchased by SilverArc Capital Alpha Fund II, L.P. (“Fund II”) in the Private Placement, including 535,016 shares of Common Stock purchased in the Second Closing. SilverArc Capital Management, LLC is the controlling entity of Fund I, Fund II, Squarepoint, and is solely owned by Devesh Gandhi. Mr. Gandhi may be deemed to have shared voting and investment discretion of the securities managed by SilverArc Capital Management, LLC. Mr. Gandhi disclaims beneficial ownership of such securities, except to the extent of his pecuniary interest therein. The address of each of the persons and entities referenced in this footnote is 20 Park Plaza, 4th Floor, Boston, MA 02116.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(14)The shares reported under “Shares of Common Stock Beneficially Owned Prior to this Offering” consist of 680,080 shares of Common Stock purchased by Syngap Research Fund Incorporated (dba “CURE SYNGAP1”) in the Private Placement, including 353,283 shares of Common Stock purchased in the Second Closing. J. Michael Graglia exercises voting and investment discretion with respect to these securities and as such may be deemed to beneficially own the shares held by Syngap Research Fund Incorporated. The address of these funds and persons is 2856 Curie Place, San Diego, CA 92122-4136.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(15)The shares reported under “Shares of Common Stock Beneficially Owned Prior to this Offering” include 282,626 shares of Common Stock purchased by Skye Peak Partners LLC in the Second Closing. Skye Peak Partners LLC purchased an aggregate of 544,063 shares of Common Stock in the Private Placement. Emmett H. Gordon exercises voting and investment discretion with respect to these securities and as such may be deemed to beneficially own the shares held by Skye Peak Partners LLC. The address of these funds and persons is c/o Trove, PO Box 962049, Boston, MA 02196.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(16)The shares reported under “Shares of Common Stock Beneficially Owned Prior to this Offering” consist of (i) 139,666 shares of Common Stock purchased by Red Hook Fund LP (the “Red Hook Fund”) in the Private Placement, including 74,307 shares of Common Stock purchased in the Second Closing and (ii) 10,000 shares of Common Stock previously purchased by the Red Hook Fund. Red Hook Asset Management LLC (the “Investment Manager”), a Delaware limited liability company, is the investment advisor to the Red Hook Fund and Red Hook Fund GP LLC (“General Partner”) is the general partner of the Red Hook Fund. Mathew Lazarus and Jeff Lopatin are the managing members of the Investment Manager and the General Partner, and may each be deemed to beneficially own the shares beneficially owned by the Red Hook Fund LP. Mathew Lazarus and Jeff Lopatin each disclaims beneficial ownership of securities beneficially owned by the Red Hook Fund LP. The address of these funds and persons is 44 Ball Road, Mountain Lakes, NJ 07046.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(17)The shares reported under “Shares of Common Stock Beneficially Owned Prior to this Offering” consist of (i) 136,015 shares of Common Stock purchased by the Jeremy M. Sclar 2012 Irrevocable Family Trust in the Private Placement, including 70,656 shares of Common Stock purchased in the Second Closing and (ii) 151,463 shares of Common Stock previously purchased by the Jeremy M. Sclar 2012 Irrevocable Family Trust. Richard A. Marks and Kerry Ann Sclar exercise voting and investment discretion with respect to these securities and as such may be deemed to beneficially own the shares held by Jeremy M. Sclar 2012 Irrevocable Family Trust. The address of the Jeremy M. Sclar 2012 Irrevocable Family Trust is 33 Boylston Street, Suite 3000, Chestnut Hill, MA 02467.</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(18)The shares reported under “Shares of Common Stock Beneficially Owned Prior to this Offering” consist of 68,006 shares of Common Stock purchased by Peter Tuxen Bisgaard in the Private Placement, including 35,327 shares of Common Stock purchased in the Second Closing. Mr. Bisgaard’s address is 35 Woodview Lane, Woodside, CA 94062.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(19)The shares reported under “Shares of Common Stock Beneficially Owned Prior to this Offering” consist of (i) 31,529 shares of Common Stock purchased by Richard Young in the Private Placement, including 16,378 shares of Common Stock purchased in the Second Closing, (ii) 154,859 shares of Common Stock previously granted to or purchased by Dr. Young and (iii) 109,371 shares of Common Stock underlying stock options exercisable within 60 days of August 3, 2026. Dr. Young is a member of the Company’s board of directors. Dr. Young’s address is c/o CAMP4 Therapeutics Corporation, One Kendall Square, Building 1400 West, 3rd Floor, Cambridge, MA 02139.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(20)The shares reported under “Shares of Common Stock Beneficially Owned Prior to this Offering” consist of (i) 12,611 shares of Common Stock purchased by Josh Mandel-Brehm in the Private Placement, including 6,551 shares of Common Stock purchased in the Second Closing, (ii) 272,357 shares of Common Stock previously granted to or purchased by Mr. Mandel-Brehm and (iii) 634,540 shares of Common Stock underlying stock options exercisable within 60 days of August 3, 2026. Mr. Mandel-Brehm is the President and Chief Executive Officer of the Company. Mr. Mandel-Brehm’s address is c/o CAMP4 Therapeutics Corporation, One Kendall Square, Building 1400 West, 3rd Floor, Cambridge, MA 02139.</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(21)The shares reported under “Shares of Common Stock Beneficially Owned Prior to this Offering” consist of (i) 12,611 shares of Common Stock purchased by Kelly Gold in the Private Placement, including 6,551 shares of Common Stock purchased in the Second Closing, (ii) 61,817 shares of Common Stock previously granted to or purchased by Ms. Gold and (iii) 204,375 shares of Common Stock underlying </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stock options exercisable within 60 days of August 3, 2026. Ms. Gold is the Chief Financial Officer of the Company. Ms. Gold’s address is c/o CAMP4 Therapeutics Corporation, One Kendall Square, Building 1400 West, 3rd Floor, Cambridge, MA 02139.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(22)The shares reported under “Shares of Common Stock Beneficially Owned Prior to this Offering” consist of (i) 12,611 shares of Common Stock purchased by Yuri Maricich in the Private Placement, including 6,551 shares of Common Stock purchased in the Second Closing and (ii) 127,762 shares of Common Stock underlying stock options exercisable within 60 days of August 3, 2026. Dr. Maricich is the Chief Medical Officer of the Company. Dr. Maricich’s address is c/o CAMP4 Therapeutics Corporation, One Kendall Square, Building 1400 West, 3rd Floor, Cambridge, MA 02139.</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(23)The shares reported under “Shares of Common Stock Beneficially Owned Prior to this Offering” consist of (i) 6,305 shares of Common Stock purchased by Leonard Zon in the Private Placement, including 3,275 shares of Common Stock purchased in the Second Closing, (ii) 103,513 shares of Common Stock previously granted to or purchased by Dr. Zon and (iii) 61,065 shares of Common Stock underlying stock options exercisable within 60 days of August 3, 2026. Dr. Zon serves as an observer of the Company’s board of directors. Dr. Zon’s address is c/o CAMP4 Therapeutics Corporation, One Kendall Square, Building 1400 West, 3rd Floor, Cambridge, MA 02139.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which as used herein include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use any one or more of the following methods when disposing of shares of Common Stock or interests therein: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distributions to members, partners, stockholders or other equityholders of the selling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ordinary brokerage transactions and transactions in which the broker-dealer solicits purchasers;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block trades in which the broker-dealer will attempt to sell the shares as agent, but may position and resell a portion of the block as principal to facilitate the transaction;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purchases by a broker-dealer as principal and resale by the broker-dealer for its account;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exchange distribution in accordance with the rules of the applicable exchange;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privately negotiated transactions;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short sales and settlement of short sales entered into after the effective date of the registration statement of which this prospectus is a part;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through the writing or settlement of options or other hedging transactions, whether through an options exchange or otherwise;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broker-dealers may agree with the selling stockholders to sell a specified number of such shares at a stipulated price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combination of any such methods of sale;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method permitted pursuant to applicable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2026 Pre-Funded Warrants by payment of cash, however, we will receive the exercise price of the 2026 Pre-Funded Warrants.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also may resell all or a portion of the shares of Common Stock owned by them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and any underwriters, broker-dealers or agents that participate in the sale of shares of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covered by this prospectus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advised the selling stockholders that the anti-manipulation rules of Regulation M under the Securities Exchange Act of 1934 (the “Exchange Act”) may apply to sales of shares covered by this prospectus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validity of the issuance of the securities offered hereby will be passed upon for us by Ropes &amp; Gray LLP, Boston, Massachusetts.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CAMP4 Therapeutics Corporation appearing in CAMP4 Therapeutics Corporation’s Annual Report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being offered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Common Stock in any state where the offer is not permitted. You should not assume that the information in this prospectus is accurate as of any date other than the date on the front page of this prospectus, regardless of the time of delivery of this prospectus or any sale of Common Stock offered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website at www.camp4tx.com. Information contained in, or accessible through, our website is not a part of, and is not incorporated into, this prospectus, and you should not consider it part of this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DOCUMENTS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the registration statement of which this prospectus is a part and prior to the effectiveness of such registration statement,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as filed with the SEC on March 5,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 ended March 31, 2026, as filed with the SEC on May 7,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as filed with the SEC on </w:t>
      </w:r>
      <w:hyperlink r:id="rId5">
        <w:r>
          <w:rPr>
            <w:rStyle w:val="InternetLink"/>
            <w:rFonts w:ascii="Times New Roman;serif" w:hAnsi="Times New Roman;serif"/>
            <w:b w:val="false"/>
            <w:color w:val="0000FF"/>
            <w:sz w:val="20"/>
            <w:u w:val="single"/>
          </w:rPr>
          <w:t>March 24,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July 27, 2026</w:t>
        </w:r>
      </w:hyperlink>
      <w:r>
        <w:rPr>
          <w:color w:val="000000"/>
        </w:rPr>
        <w:t xml:space="preserve"> </w:t>
      </w:r>
      <w:r>
        <w:rPr>
          <w:rFonts w:ascii="Times New Roman;serif" w:hAnsi="Times New Roman;serif"/>
          <w:b w:val="false"/>
          <w:color w:val="000000"/>
          <w:sz w:val="20"/>
        </w:rPr>
        <w:t xml:space="preserve">and </w:t>
      </w:r>
      <w:hyperlink r:id="rId8">
        <w:r>
          <w:rPr>
            <w:rStyle w:val="InternetLink"/>
          </w:rPr>
          <w:t>Augus</w:t>
        </w:r>
      </w:hyperlink>
      <w:hyperlink r:id="rId9">
        <w:r>
          <w:rPr>
            <w:rStyle w:val="InternetLink"/>
          </w:rPr>
          <w:t>t 4,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specifically incorporated by reference into our Annual Report on Form 10-K for the year ended December 31, 2025 from our Definitive Proxy Statement on </w:t>
      </w:r>
      <w:hyperlink r:id="rId10">
        <w:r>
          <w:rPr>
            <w:rStyle w:val="InternetLink"/>
            <w:rFonts w:ascii="Times New Roman;serif" w:hAnsi="Times New Roman;serif"/>
            <w:b w:val="false"/>
            <w:color w:val="0000FF"/>
            <w:sz w:val="20"/>
            <w:u w:val="single"/>
          </w:rPr>
          <w:t>Schedule 14A</w:t>
        </w:r>
      </w:hyperlink>
      <w:r>
        <w:rPr>
          <w:color w:val="000000"/>
        </w:rPr>
        <w:t xml:space="preserve"> </w:t>
      </w:r>
      <w:r>
        <w:rPr>
          <w:rFonts w:ascii="Times New Roman;serif" w:hAnsi="Times New Roman;serif"/>
          <w:b w:val="false"/>
          <w:color w:val="000000"/>
          <w:sz w:val="20"/>
        </w:rPr>
        <w:t xml:space="preserve">for the 2026 Annual Meeting of Stockholders, as filed with the SEC on April 23, 2026;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which is contained in the Registration Statement on </w:t>
      </w:r>
      <w:hyperlink r:id="rId11">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xml:space="preserve">, as filed with the SEC on October 8, 2024, as supplemented by the description of our Common Stock and preferred stock contained in </w:t>
      </w:r>
      <w:hyperlink r:id="rId12">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 xml:space="preserve">to our Annual Report on Form 10-K for the fiscal year ended December 31, 2025, filed with the SEC on March 5,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copy of these filings, at no cost, by writing or telephoning us at the following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CAMP4 Therapeutics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One Kendall Square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Building 1400 West, 3rd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Cambridge, Massachusetts 02139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651-8867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Copies of these filings are also available, without charge, on the SEC’s website at www.sec.gov and on our website at www.camp4tx.com as soon as reasonably practicable after they are filed electronically with the SEC. The information contained on our website is not a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an estimate of the fees and expenses relating to the issuance and distribution of the securities being registered hereby, other than underwriting discounts and commissions, all of which shall be borne by the Registrant. All of such fees and expenses, except for the SEC registration fee, are estimated: </w:t>
      </w:r>
    </w:p>
    <w:tbl>
      <w:tblPr>
        <w:tblW w:w="3981" w:type="dxa"/>
        <w:jc w:val="left"/>
        <w:tblInd w:w="0" w:type="dxa"/>
        <w:tblLayout w:type="fixed"/>
        <w:tblCellMar>
          <w:top w:w="28" w:type="dxa"/>
          <w:left w:w="28" w:type="dxa"/>
          <w:bottom w:w="28" w:type="dxa"/>
          <w:right w:w="28" w:type="dxa"/>
        </w:tblCellMar>
      </w:tblPr>
      <w:tblGrid>
        <w:gridCol w:w="1012"/>
        <w:gridCol w:w="887"/>
        <w:gridCol w:w="891"/>
        <w:gridCol w:w="211"/>
        <w:gridCol w:w="826"/>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fees and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permitted by Section 102(b)(7) of the Delaware General Corporation Law (the “DGCL”), our amended and restated certificate of incorporation (our “Charter”) includes a provision to eliminate the personal liability of our directors and officers for monetary damages for breach of their fiduciary duties as directors, subject to certain exceptions. In addition, our Charter and amended and restated bylaws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 in each case except to the extent that the DGCL prohibits the elimination or limitation of liability of directors or officers for breaches of fiduciary duty.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person is fairly and reasonably entitled to indemnity for such expenses which the Court of Chancery or such other court shall deem proper.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our directors and executive officers. These indemnification agreements provide broader indemnity rights than those provided under the DGCL and our Charter.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directors’ and officers’ liability insurance for the benefit of our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Also see “Undertakings.”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331"/>
        <w:gridCol w:w="292"/>
        <w:gridCol w:w="293"/>
        <w:gridCol w:w="109"/>
        <w:gridCol w:w="109"/>
        <w:gridCol w:w="109"/>
        <w:gridCol w:w="2747"/>
        <w:gridCol w:w="2560"/>
        <w:gridCol w:w="3655"/>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Exhibit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Description of Document </w:t>
            </w:r>
          </w:p>
        </w:tc>
      </w:tr>
      <w:tr>
        <w:trPr/>
        <w:tc>
          <w:tcPr>
            <w:tcW w:w="9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Fifth Amended and Restated Certificate of Incorporation of CAMP4 Therapeutics Corporation (incorporated by reference to Exhibit 3.1 to the Form 8-K filed by the Registrant on October 15, 2024)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Amended and Restated Bylaws of CAMP4 Therapeutics Corporation (incorporated by reference to Exhibit 3.2 to the Form 8-K filed by the Registrant on October 15, 2024)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Description of Registered Securities (incorporated by reference to Exhibit 4.1 to the Annual Report on Form 10-K filed by the Registrant on March 5, 2026)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Pre-Funded Warrant (incorporated by reference to Exhibit 4.1 to the Form 8-K filed by the Registrant with the Securities and Exchange Commission on September 10, 2025)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Registration Rights Agreement, dated September 9, 2025, by and among CAMP4 Therapeutics Corporation and the investors party thereto (incorporated by reference to Exhibit 10.2 to Form 8-K filed by the Registrant with the Securities and Exchange Commission on September 10, 2025)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august2026.htm">
              <w:r>
                <w:rPr>
                  <w:rStyle w:val="InternetLink"/>
                  <w:rFonts w:ascii="Times New Roman;serif" w:hAnsi="Times New Roman;serif"/>
                  <w:b w:val="false"/>
                  <w:color w:val="0000FF"/>
                  <w:sz w:val="20"/>
                  <w:u w:val="single"/>
                </w:rPr>
                <w:t>Consent of Ropes &amp; Gray LLP</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august2026.htm">
              <w:r>
                <w:rPr>
                  <w:rStyle w:val="InternetLink"/>
                  <w:rFonts w:ascii="Times New Roman;serif" w:hAnsi="Times New Roman;serif"/>
                  <w:b w:val="false"/>
                  <w:color w:val="0000FF"/>
                  <w:sz w:val="20"/>
                  <w:u w:val="single"/>
                </w:rPr>
                <w:t>Consent of Ernst &amp; Young LLP</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august2026.htm">
              <w:r>
                <w:rPr>
                  <w:rStyle w:val="InternetLink"/>
                  <w:rFonts w:ascii="Times New Roman;serif" w:hAnsi="Times New Roman;serif"/>
                  <w:b w:val="false"/>
                  <w:color w:val="0000FF"/>
                  <w:sz w:val="20"/>
                  <w:u w:val="single"/>
                </w:rPr>
                <w:t>Consent of Ropes &amp; Gray LLP (included in Exhibit 5.1)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64">
              <w:r>
                <w:rPr>
                  <w:rStyle w:val="InternetLink"/>
                  <w:rFonts w:ascii="Times New Roman;serif" w:hAnsi="Times New Roman;serif"/>
                  <w:b w:val="false"/>
                  <w:color w:val="0000FF"/>
                  <w:sz w:val="20"/>
                  <w:u w:val="single"/>
                </w:rPr>
                <w:t xml:space="preserve">Power of Attorney (incorporated by reference to the signature page hereto) </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mpexfilingfees.htm">
              <w:r>
                <w:rPr>
                  <w:rStyle w:val="InternetLink"/>
                  <w:rFonts w:ascii="Times New Roman;serif" w:hAnsi="Times New Roman;serif"/>
                  <w:b w:val="false"/>
                  <w:color w:val="0000FF"/>
                  <w:sz w:val="20"/>
                  <w:u w:val="single"/>
                </w:rPr>
                <w:t>Filing Fee Table</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registrant hereby undertakes: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(1)To file, during any period in which offers or sales are being made, a post-effective amendment to this registration statement: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(i)To include any prospectus required by Section 10(a)(3) of the Securities Act of 1933;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0" w:after="180"/>
        <w:jc w:val="left"/>
        <w:rPr/>
      </w:pP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 xml:space="preserve">that the undertakings set forth in 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(3)To remove from registration by means of a post-effective amendment any of the securities being registered which remain unsold at the termination of the offering.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(4)That, for the purpose of determining liability under the Securities Act of 1933 to any purchaser: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prospectus that was part of the registration statement or made in any such document immediately prior to such effective date.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Cambridge, Commonwealth of Massachusetts, on this 6th of August, 2026. </w:t>
      </w:r>
    </w:p>
    <w:tbl>
      <w:tblPr>
        <w:tblW w:w="6198" w:type="dxa"/>
        <w:jc w:val="left"/>
        <w:tblInd w:w="0" w:type="dxa"/>
        <w:tblLayout w:type="fixed"/>
        <w:tblCellMar>
          <w:top w:w="28" w:type="dxa"/>
          <w:left w:w="28" w:type="dxa"/>
          <w:bottom w:w="28" w:type="dxa"/>
          <w:right w:w="28" w:type="dxa"/>
        </w:tblCellMar>
      </w:tblPr>
      <w:tblGrid>
        <w:gridCol w:w="124"/>
        <w:gridCol w:w="109"/>
        <w:gridCol w:w="109"/>
        <w:gridCol w:w="413"/>
        <w:gridCol w:w="413"/>
        <w:gridCol w:w="413"/>
        <w:gridCol w:w="1064"/>
        <w:gridCol w:w="1064"/>
        <w:gridCol w:w="1067"/>
        <w:gridCol w:w="413"/>
        <w:gridCol w:w="413"/>
        <w:gridCol w:w="5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 Mandel-Brehm</w:t>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person whose signature appears below constitutes and appoints Josh Mandel-Brehm and Kelly Gold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and supplements thereto (including post-effective amendments and registration statements filed pursuant to Rule 462(b))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28" w:type="dxa"/>
          <w:left w:w="28" w:type="dxa"/>
          <w:bottom w:w="28" w:type="dxa"/>
          <w:right w:w="28" w:type="dxa"/>
        </w:tblCellMar>
      </w:tblPr>
      <w:tblGrid>
        <w:gridCol w:w="812"/>
        <w:gridCol w:w="714"/>
        <w:gridCol w:w="716"/>
        <w:gridCol w:w="109"/>
        <w:gridCol w:w="109"/>
        <w:gridCol w:w="109"/>
        <w:gridCol w:w="1977"/>
        <w:gridCol w:w="1972"/>
        <w:gridCol w:w="1998"/>
        <w:gridCol w:w="109"/>
        <w:gridCol w:w="109"/>
        <w:gridCol w:w="109"/>
        <w:gridCol w:w="396"/>
        <w:gridCol w:w="396"/>
        <w:gridCol w:w="570"/>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Josh Mandel-Brehm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Josh Mandel-Brehm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Kelly Gold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(Principal financial and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Kelly Gold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E.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Douglas E. Williams,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Holtzman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Holtzman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MacLean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MacLean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Schwab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Schwab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Murray Stewart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Murray Stewart, DM FRCP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Richard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Young,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campexfilingfees.htm"/>
      <w:bookmarkStart w:id="1" w:name="kscampexfilingfees"/>
      <w:bookmarkStart w:id="2" w:name="campexfilingfees.htm"/>
      <w:bookmarkStart w:id="3" w:name="kscampexfilingfees"/>
      <w:bookmarkEnd w:id="2"/>
      <w:bookmarkEnd w:id="3"/>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Camp4 Therapeutics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32,721,172 </w:t>
            </w:r>
          </w:p>
        </w:tc>
        <w:tc>
          <w:tcPr>
            <w:tcW w:w="1156" w:type="dxa"/>
            <w:tcBorders/>
            <w:shd w:fill="E7E7E2" w:val="clear"/>
            <w:vAlign w:val="center"/>
          </w:tcPr>
          <w:p>
            <w:pPr>
              <w:pStyle w:val="TableContents"/>
              <w:bidi w:val="0"/>
              <w:spacing w:before="0" w:after="283"/>
              <w:jc w:val="right"/>
              <w:rPr/>
            </w:pPr>
            <w:r>
              <w:rPr/>
              <w:t xml:space="preserve">$ 3.44 </w:t>
            </w:r>
          </w:p>
        </w:tc>
        <w:tc>
          <w:tcPr>
            <w:tcW w:w="1786" w:type="dxa"/>
            <w:tcBorders/>
            <w:shd w:fill="E7E7E2" w:val="clear"/>
            <w:vAlign w:val="center"/>
          </w:tcPr>
          <w:p>
            <w:pPr>
              <w:pStyle w:val="TableContents"/>
              <w:bidi w:val="0"/>
              <w:spacing w:before="0" w:after="283"/>
              <w:jc w:val="right"/>
              <w:rPr/>
            </w:pPr>
            <w:r>
              <w:rPr/>
              <w:t xml:space="preserve">$ 112,560,831.68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$ 15,544.65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$ 112,560,831.68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$ 15,544.65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$ 15,544.65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The registration statement to which this exhibit is attached registers the resale from time to time by certain stockholders of an aggregate of 32,721,172 shares of the Registrant's common stock, $0.0001 par value per share (the "Common Stock"), which consists of (i) 10,795,804 shares of Common Stock and (ii) 21,925,368 shares of Common Stock issuable upon the exercise of outstanding pre-funded warrants that were initially issued pursuant to the Purchase Agreement dated as of September 9, 2025, as amended on August 3, 2026, by and between the Registrant and the selling stockholders named in the registration statement. Pursuant to Rule 416 under the Securities Act of 1933, as amended, the registration statement also covers such additional securities that may be issued as a result of stock splits, stock dividends or similar transactions. 1b. Estimated solely for the purpose of calculating the registration fee in accordance with Rule 457(c) based on the average of the high and low prices of the Registrant's Common Stock as reported on The Nasdaq Global Market on July 31, 2026 to be $3.54 and $3.34, respectively.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5.1</w:t>
      </w:r>
    </w:p>
    <w:tbl>
      <w:tblPr>
        <w:tblW w:w="2711" w:type="dxa"/>
        <w:jc w:val="left"/>
        <w:tblInd w:w="0" w:type="dxa"/>
        <w:tblLayout w:type="fixed"/>
        <w:tblCellMar>
          <w:top w:w="28" w:type="dxa"/>
          <w:left w:w="28" w:type="dxa"/>
          <w:bottom w:w="28" w:type="dxa"/>
          <w:right w:w="28" w:type="dxa"/>
        </w:tblCellMar>
      </w:tblPr>
      <w:tblGrid>
        <w:gridCol w:w="373"/>
        <w:gridCol w:w="328"/>
        <w:gridCol w:w="330"/>
        <w:gridCol w:w="492"/>
        <w:gridCol w:w="492"/>
        <w:gridCol w:w="696"/>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590550" cy="75247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18"/>
                          <a:stretch>
                            <a:fillRect/>
                          </a:stretch>
                        </pic:blipFill>
                        <pic:spPr bwMode="auto">
                          <a:xfrm>
                            <a:off x="0" y="0"/>
                            <a:ext cx="590550" cy="752475"/>
                          </a:xfrm>
                          <a:prstGeom prst="rect">
                            <a:avLst/>
                          </a:prstGeom>
                        </pic:spPr>
                      </pic:pic>
                    </a:graphicData>
                  </a:graphic>
                </wp:inline>
              </w:drawing>
            </w:r>
          </w:p>
        </w:tc>
        <w:tc>
          <w:tcPr>
            <w:tcW w:w="168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Times New Roman;serif" w:hAnsi="Times New Roman;serif"/>
                <w:b w:val="false"/>
                <w:color w:val="000000"/>
                <w:sz w:val="14"/>
              </w:rPr>
            </w:pPr>
            <w:r>
              <w:rPr>
                <w:rFonts w:ascii="Times New Roman;serif" w:hAnsi="Times New Roman;serif"/>
                <w:b w:val="false"/>
                <w:color w:val="000000"/>
                <w:sz w:val="14"/>
              </w:rPr>
              <w:t>ROPES &amp; GRAY LLP</w:t>
            </w:r>
          </w:p>
          <w:p>
            <w:pPr>
              <w:pStyle w:val="TableContents"/>
              <w:bidi w:val="0"/>
              <w:spacing w:lineRule="atLeast" w:line="220" w:before="0" w:after="0"/>
              <w:jc w:val="left"/>
              <w:rPr>
                <w:rFonts w:ascii="Times New Roman;serif" w:hAnsi="Times New Roman;serif"/>
                <w:b w:val="false"/>
                <w:color w:val="000000"/>
                <w:sz w:val="14"/>
              </w:rPr>
            </w:pPr>
            <w:r>
              <w:rPr>
                <w:rFonts w:ascii="Times New Roman;serif" w:hAnsi="Times New Roman;serif"/>
                <w:b w:val="false"/>
                <w:color w:val="000000"/>
                <w:sz w:val="14"/>
              </w:rPr>
              <w:t>PRUDENTIAL TOWER</w:t>
            </w:r>
          </w:p>
          <w:p>
            <w:pPr>
              <w:pStyle w:val="TableContents"/>
              <w:bidi w:val="0"/>
              <w:spacing w:lineRule="atLeast" w:line="220" w:before="0" w:after="0"/>
              <w:jc w:val="left"/>
              <w:rPr>
                <w:rFonts w:ascii="Times New Roman;serif" w:hAnsi="Times New Roman;serif"/>
                <w:b w:val="false"/>
                <w:color w:val="000000"/>
                <w:sz w:val="14"/>
              </w:rPr>
            </w:pPr>
            <w:r>
              <w:rPr>
                <w:rFonts w:ascii="Times New Roman;serif" w:hAnsi="Times New Roman;serif"/>
                <w:b w:val="false"/>
                <w:color w:val="000000"/>
                <w:sz w:val="14"/>
              </w:rPr>
              <w:t>800 BOYLSTON STREET</w:t>
            </w:r>
          </w:p>
          <w:p>
            <w:pPr>
              <w:pStyle w:val="TableContents"/>
              <w:bidi w:val="0"/>
              <w:spacing w:lineRule="atLeast" w:line="220" w:before="0" w:after="0"/>
              <w:jc w:val="left"/>
              <w:rPr>
                <w:rFonts w:ascii="Times New Roman;serif" w:hAnsi="Times New Roman;serif"/>
                <w:b w:val="false"/>
                <w:color w:val="000000"/>
                <w:sz w:val="14"/>
              </w:rPr>
            </w:pPr>
            <w:r>
              <w:rPr>
                <w:rFonts w:ascii="Times New Roman;serif" w:hAnsi="Times New Roman;serif"/>
                <w:b w:val="false"/>
                <w:color w:val="000000"/>
                <w:sz w:val="14"/>
              </w:rPr>
              <w:t>BOSTON, MA 02199-3600</w:t>
            </w:r>
          </w:p>
          <w:p>
            <w:pPr>
              <w:pStyle w:val="TableContents"/>
              <w:bidi w:val="0"/>
              <w:spacing w:lineRule="atLeast" w:line="220" w:before="0" w:after="0"/>
              <w:jc w:val="left"/>
              <w:rPr>
                <w:rFonts w:ascii="Times New Roman;serif" w:hAnsi="Times New Roman;serif"/>
                <w:b w:val="false"/>
                <w:color w:val="000000"/>
                <w:sz w:val="14"/>
              </w:rPr>
            </w:pPr>
            <w:r>
              <w:rPr>
                <w:rFonts w:ascii="Times New Roman;serif" w:hAnsi="Times New Roman;serif"/>
                <w:b w:val="false"/>
                <w:color w:val="000000"/>
                <w:sz w:val="14"/>
              </w:rPr>
              <w:t>WWW.ROPESGRAY.COM</w:t>
            </w:r>
          </w:p>
        </w:tc>
      </w:tr>
    </w:tbl>
    <w:p>
      <w:pPr>
        <w:pStyle w:val="TextBody"/>
        <w:bidi w:val="0"/>
        <w:spacing w:before="0" w:after="48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CAMP4 Therapeutics Corporation</w: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One Kendall Square</w: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Building 1400 West, 3rd Floor</w:t>
      </w:r>
    </w:p>
    <w:p>
      <w:pPr>
        <w:pStyle w:val="TextBody"/>
        <w:bidi w:val="0"/>
        <w:spacing w:lineRule="auto" w:line="475" w:before="0" w:after="0"/>
        <w:jc w:val="left"/>
        <w:rPr>
          <w:rFonts w:ascii="Times New Roman;serif" w:hAnsi="Times New Roman;serif"/>
          <w:b w:val="false"/>
          <w:color w:val="000000"/>
          <w:sz w:val="24"/>
        </w:rPr>
      </w:pPr>
      <w:r>
        <w:rPr>
          <w:rFonts w:ascii="Times New Roman;serif" w:hAnsi="Times New Roman;serif"/>
          <w:b w:val="false"/>
          <w:color w:val="000000"/>
          <w:sz w:val="24"/>
        </w:rPr>
        <w:t>Cambridge, Massachusetts</w:t>
      </w:r>
    </w:p>
    <w:p>
      <w:pPr>
        <w:pStyle w:val="TextBody"/>
        <w:bidi w:val="0"/>
        <w:spacing w:lineRule="auto" w:line="475" w:before="180" w:after="283"/>
        <w:jc w:val="left"/>
        <w:rPr>
          <w:rFonts w:ascii="Times New Roman;serif" w:hAnsi="Times New Roman;serif"/>
          <w:b w:val="false"/>
          <w:color w:val="000000"/>
          <w:sz w:val="24"/>
        </w:rPr>
      </w:pPr>
      <w:r>
        <w:rPr>
          <w:rFonts w:ascii="Times New Roman;serif" w:hAnsi="Times New Roman;serif"/>
          <w:b w:val="false"/>
          <w:color w:val="000000"/>
          <w:sz w:val="24"/>
        </w:rPr>
        <w:t>Re: Registration of Securities by CAMP4 Therapeutics Corporation</w:t>
      </w:r>
    </w:p>
    <w:p>
      <w:pPr>
        <w:pStyle w:val="TextBody"/>
        <w:bidi w:val="0"/>
        <w:spacing w:lineRule="auto" w:line="475" w:before="180" w:after="283"/>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We have acted as counsel to CAMP4 Therapeutics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registration statement on Form S-3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filed on the date hereof by the Company with the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relating to the registration under the Securities Act and the proposed offer and sale from time to time pursuant to Rule 415 under the Securities Act, by certain stockholders of the Company identified in the Registration Statement, of up to (i) 10,795,804 shares of common stock, $0.0001 par value per share, of the Company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(ii) 21,925,368 shares of Common Stock issuable upon the exercise of pre-funded warrants, with an exercise price of $0.0001 per share (the “</w:t>
      </w:r>
      <w:r>
        <w:rPr>
          <w:rFonts w:ascii="Times New Roman;serif" w:hAnsi="Times New Roman;serif"/>
          <w:b w:val="false"/>
          <w:color w:val="000000"/>
          <w:sz w:val="24"/>
          <w:u w:val="single"/>
        </w:rPr>
        <w:t>Pre-Funded Warrants</w:t>
      </w:r>
      <w:r>
        <w:rPr>
          <w:color w:val="000000"/>
        </w:rPr>
        <w:t xml:space="preserve">” </w:t>
      </w:r>
      <w:r>
        <w:rPr>
          <w:rFonts w:ascii="Times New Roman;serif" w:hAnsi="Times New Roman;serif"/>
          <w:b w:val="false"/>
          <w:color w:val="000000"/>
          <w:sz w:val="24"/>
        </w:rPr>
        <w:t>and together with the Common Stock, the “</w:t>
      </w:r>
      <w:r>
        <w:rPr>
          <w:rFonts w:ascii="Times New Roman;serif" w:hAnsi="Times New Roman;serif"/>
          <w:b w:val="false"/>
          <w:color w:val="000000"/>
          <w:sz w:val="24"/>
          <w:u w:val="single"/>
        </w:rPr>
        <w:t>Securities</w:t>
      </w:r>
      <w:r>
        <w:rPr>
          <w:color w:val="000000"/>
        </w:rPr>
        <w:t>”</w:t>
      </w:r>
      <w:r>
        <w:rPr>
          <w:rFonts w:ascii="Times New Roman;serif" w:hAnsi="Times New Roman;serif"/>
          <w:b w:val="false"/>
          <w:color w:val="000000"/>
          <w:sz w:val="24"/>
        </w:rPr>
        <w:t>), which were sold pursuant to that certain Securities Purchase Agreement, dated as of September 9, 2025 and amended as of August 3, 2026, by and among the Company and the purchasers named therein.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opinions expressed below are limited to the Delaware General Corporation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Based upon and subject to the foregoing and the assumptions, qualifications and limitations set forth below, we are of the opinion that the Securities have been duly authorized by the Company and are validly issued, fully paid and non-assessable.</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rendering the opinions set forth above, we have assumed that (i) the Registration Statement and any amendments thereto will have become effective under the Securities Act, and no stop order suspending the Registration Statement’s effectiveness will have been issued and </w:t>
      </w:r>
    </w:p>
    <w:p>
      <w:pPr>
        <w:pStyle w:val="TextBody"/>
        <w:bidi w:val="0"/>
        <w:spacing w:before="0" w:after="7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CAMP4 Therapeutics Corporation    - 2 -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remain in effect each time the Securities are offered and sold as contemplated by the Registration Statement, and (ii) all Securities will be offered and sold in compliance with applicable federal and state securities laws and in the manner stated in the Registration Statement and the applicable prospectus supplement.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tbl>
      <w:tblPr>
        <w:tblW w:w="32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58"/>
        <w:gridCol w:w="358"/>
        <w:gridCol w:w="358"/>
        <w:gridCol w:w="358"/>
        <w:gridCol w:w="358"/>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Ropes &amp; Gray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Ropes &amp; Gray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321" w:before="0" w:after="320"/>
        <w:jc w:val="left"/>
        <w:rPr>
          <w:rFonts w:ascii="Times New Roman;serif" w:hAnsi="Times New Roman;serif"/>
          <w:b w:val="false"/>
          <w:color w:val="000000"/>
          <w:sz w:val="20"/>
        </w:rPr>
      </w:pPr>
      <w:r>
        <w:rPr>
          <w:rFonts w:ascii="Times New Roman;serif" w:hAnsi="Times New Roman;serif"/>
          <w:b w:val="false"/>
          <w:color w:val="000000"/>
          <w:sz w:val="20"/>
        </w:rPr>
        <w:t>We consent to the reference to our firm under the caption "Experts" in the Registration Statement (Form S-3) and related Prospectus of Camp4 Therapeutics Corporation for the registration of 10,795,804 shares of its common stock and 21,925,368 shares of its common stock issuable upon the exercise of pre-funded warrants and to the incorporation by reference therein of our report dated March 5, 2026, with respect to the consolidated financial statements of Camp4 Therapeutics included in its Annual Report (Form 10-K) for the year ended December 31, 2025, filed with the Securities and Exchange Commission.</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36730/000173673026000016/camp-20251231.htm" TargetMode="External"/><Relationship Id="rId4" Type="http://schemas.openxmlformats.org/officeDocument/2006/relationships/hyperlink" Target="https://www.sec.gov/ix?doc=/Archives/edgar/data/1736730/000162828026032146/camp-20260331.htm" TargetMode="External"/><Relationship Id="rId5" Type="http://schemas.openxmlformats.org/officeDocument/2006/relationships/hyperlink" Target="https://www.sec.gov/ix?doc=/Archives/edgar/data/1736730/000173673026000021/camp-20260318.htm" TargetMode="External"/><Relationship Id="rId6" Type="http://schemas.openxmlformats.org/officeDocument/2006/relationships/hyperlink" Target="https://www.sec.gov/ix?doc=/Archives/edgar/data/1736730/000162828026042846/camp-20260610.htm" TargetMode="External"/><Relationship Id="rId7" Type="http://schemas.openxmlformats.org/officeDocument/2006/relationships/hyperlink" Target="https://www.sec.gov/ix?doc=/Archives/edgar/data/1736730/000162828026049661/camp-20260727.htm" TargetMode="External"/><Relationship Id="rId8" Type="http://schemas.openxmlformats.org/officeDocument/2006/relationships/hyperlink" Target="https://www.sec.gov/ix?doc=/Archives/edgar/data/1736730/000162828026052150/camp-20260803.htm" TargetMode="External"/><Relationship Id="rId9" Type="http://schemas.openxmlformats.org/officeDocument/2006/relationships/hyperlink" Target="https://www.sec.gov/ix?doc=/Archives/edgar/data/1736730/000162828026052150/camp-20260803.htm" TargetMode="External"/><Relationship Id="rId10" Type="http://schemas.openxmlformats.org/officeDocument/2006/relationships/hyperlink" Target="https://www.sec.gov/ix?doc=/Archives/edgar/data/1736730/000173673026000026/camp-20260422.htm" TargetMode="External"/><Relationship Id="rId11" Type="http://schemas.openxmlformats.org/officeDocument/2006/relationships/hyperlink" Target="https://www.sec.gov/Archives/edgar/data/1736730/000110465924107031/tm2415452d21_8a12b.htm" TargetMode="External"/><Relationship Id="rId12" Type="http://schemas.openxmlformats.org/officeDocument/2006/relationships/hyperlink" Target="https://www.sec.gov/Archives/edgar/data/1736730/000173673026000016/exhibit41-descriptionofreg.htm" TargetMode="External"/><Relationship Id="rId13" Type="http://schemas.openxmlformats.org/officeDocument/2006/relationships/hyperlink" Target="https://www.sec.gov/Archives/edgar/data/1736730/000110465924108583/tm2426167d1_ex3-1.htm" TargetMode="External"/><Relationship Id="rId14" Type="http://schemas.openxmlformats.org/officeDocument/2006/relationships/hyperlink" Target="https://www.sec.gov/Archives/edgar/data/1736730/000110465924108583/tm2426167d1_ex3-2.htm" TargetMode="External"/><Relationship Id="rId15" Type="http://schemas.openxmlformats.org/officeDocument/2006/relationships/hyperlink" Target="https://www.sec.gov/Archives/edgar/data/1736730/000173673026000016/exhibit41-descriptionofreg.htm" TargetMode="External"/><Relationship Id="rId16" Type="http://schemas.openxmlformats.org/officeDocument/2006/relationships/hyperlink" Target="https://www.sec.gov/Archives/edgar/data/1736730/000173673025000072/exhibit41-formofprexfunded.htm" TargetMode="External"/><Relationship Id="rId17" Type="http://schemas.openxmlformats.org/officeDocument/2006/relationships/hyperlink" Target="https://www.sec.gov/Archives/edgar/data/1736730/000173673025000072/exhibit102-registrationrig.htm" TargetMode="External"/><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15643</Words>
  <Characters>85078</Characters>
  <CharactersWithSpaces>100446</CharactersWithSpaces>
  <Paragraphs>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